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600"/>
        <w:jc w:val="center"/>
      </w:pPr>
      <w:r>
        <w:rPr>
          <w:rFonts w:ascii="Noto Sans CJK SC" w:hAnsi="Noto Sans CJK SC" w:eastAsia="Noto Sans CJK SC"/>
          <w:b/>
          <w:color w:val="1F364E"/>
          <w:sz w:val="56"/>
        </w:rPr>
        <w:t>发生—约束动力学</w:t>
      </w:r>
    </w:p>
    <w:p>
      <w:pPr>
        <w:jc w:val="center"/>
      </w:pPr>
      <w:r>
        <w:rPr>
          <w:rFonts w:ascii="Noto Sans CJK SC" w:hAnsi="Noto Sans CJK SC" w:eastAsia="Noto Sans CJK SC"/>
          <w:b/>
          <w:color w:val="2D5F80"/>
          <w:sz w:val="36"/>
        </w:rPr>
        <w:t>精神现实主义 / 系统发生论心理学总报告（冻结版）</w:t>
      </w:r>
    </w:p>
    <w:p>
      <w:pPr>
        <w:spacing w:before="360"/>
        <w:jc w:val="center"/>
      </w:pPr>
      <w:r>
        <w:rPr>
          <w:rFonts w:ascii="Noto Serif CJK SC" w:hAnsi="Noto Serif CJK SC" w:eastAsia="Noto Serif CJK SC"/>
          <w:color w:val="5C6A78"/>
          <w:sz w:val="23"/>
        </w:rPr>
        <w:t>从“转、痕迹、时间与我”到关系约束本体化、有效秩、回捕、耗损与跨年龄跨文化反向验证</w:t>
      </w:r>
    </w:p>
    <w:p>
      <w:pPr>
        <w:spacing w:before="700"/>
        <w:jc w:val="center"/>
      </w:pPr>
      <w:r>
        <w:rPr>
          <w:rFonts w:ascii="Noto Sans CJK SC" w:hAnsi="Noto Sans CJK SC" w:eastAsia="Noto Sans CJK SC"/>
          <w:color w:val="232323"/>
          <w:sz w:val="21"/>
        </w:rPr>
        <w:t>研究冻结日期：2026年9月23日</w:t>
      </w:r>
    </w:p>
    <w:p>
      <w:pPr>
        <w:jc w:val="center"/>
      </w:pPr>
      <w:r>
        <w:rPr>
          <w:rFonts w:ascii="Noto Sans CJK SC" w:hAnsi="Noto Sans CJK SC" w:eastAsia="Noto Sans CJK SC"/>
          <w:color w:val="5C6A78"/>
          <w:sz w:val="20"/>
        </w:rPr>
        <w:t>研究状态：理论主干冻结；数学条件结果形成；公开现实预验证完成；独立预注册实验尚待完成</w:t>
      </w:r>
    </w:p>
    <w:tbl>
      <w:tblPr>
        <w:tblW w:type="auto" w:w="0"/>
        <w:jc w:val="center"/>
        <w:tblLook w:firstColumn="1" w:firstRow="1" w:lastColumn="0" w:lastRow="0" w:noHBand="0" w:noVBand="1" w:val="04A0"/>
      </w:tblPr>
      <w:tblGrid>
        <w:gridCol w:w="9519"/>
      </w:tblGrid>
      <w:tr>
        <w:tc>
          <w:tcPr>
            <w:tcW w:type="dxa" w:w="9519"/>
            <w:shd w:fill="F7F4F1"/>
            <w:tcMar>
              <w:top w:w="120" w:type="dxa"/>
              <w:start w:w="160" w:type="dxa"/>
              <w:bottom w:w="120" w:type="dxa"/>
              <w:end w:w="160" w:type="dxa"/>
            </w:tcMar>
          </w:tcPr>
          <w:p>
            <w:pPr>
              <w:ind w:firstLine="0"/>
            </w:pPr>
            <w:r>
              <w:rPr>
                <w:rFonts w:ascii="Noto Sans CJK SC" w:hAnsi="Noto Sans CJK SC" w:eastAsia="Noto Sans CJK SC"/>
                <w:b/>
                <w:color w:val="912D2D"/>
                <w:sz w:val="20"/>
              </w:rPr>
              <w:t xml:space="preserve">重要边界  </w:t>
            </w:r>
            <w:r>
              <w:rPr>
                <w:rFonts w:ascii="Noto Serif CJK SC" w:hAnsi="Noto Serif CJK SC" w:eastAsia="Noto Serif CJK SC"/>
                <w:color w:val="232323"/>
                <w:sz w:val="19"/>
              </w:rPr>
              <w:t>本报告不是医学诊断指南，也不主张现代精神医学、药物治疗、心理治疗或生物学研究错误。报告提出的是一个可被进一步验证或推翻的关系发生论心理动力学框架；任何临床应用都必须接受独立实证与标准医疗规范约束。</w:t>
            </w:r>
          </w:p>
        </w:tc>
      </w:tr>
    </w:tbl>
    <w:p>
      <w:r>
        <w:br w:type="page"/>
      </w:r>
    </w:p>
    <w:p>
      <w:pPr>
        <w:pStyle w:val="Heading1"/>
        <w:keepNext/>
        <w:keepLines/>
      </w:pPr>
      <w:r>
        <w:t>摘要</w:t>
      </w:r>
    </w:p>
    <w:p>
      <w:pPr>
        <w:ind w:firstLine="420"/>
      </w:pPr>
      <w:r>
        <w:t>本报告冻结精神现实主义心理学研究目前最深的一版。研究从作者原文“发生/转”出发，重点重读《转》《四心法》《心理学》《语言篇》《时间是什么》《什么是情绪》及“人类最根本的问题”所保存的核心论证，并吸收第二份抑郁研究报告的修正。最终模型不再把“抑郁”或“固定自我”当作唯一对象，而把病理候选一般化为：发生形成的临时关系结构，在特定历史、身体、年龄、文化与现实条件下，被本体化为不允许现实改写的高控制约束；其后可出现回捕、有效响应维度下降、控制成本累积和生成闭合。</w:t>
      </w:r>
    </w:p>
    <w:p>
      <w:pPr>
        <w:ind w:firstLine="420"/>
      </w:pPr>
      <w:r>
        <w:t>形式化方面，本报告区分相续与新生：局部线性化 δxₙ₊₁=Aₙδxₙ+Bₙδeₙ，其中 Aₙ≠0 表示上一轮关系进入下一轮，Bₙ≠0 表示新现实仍能生成新方向。健康候选不是“越变化越好”，而是相续与生成同时存在。进一步以低秩主导约束模型推得发生有效秩 r_gen=(d+z)²/(d+2z+z²)，当主导约束增强时 r_gen 严格单调下降，极限从 d 收缩到1；以最小正反馈模型 dm/dt=h−m+κm²/(1+m²) 可产生 κ_c=2 的临界点、双稳态、滞后与临界减速。</w:t>
      </w:r>
    </w:p>
    <w:p>
      <w:pPr>
        <w:ind w:firstLine="420"/>
      </w:pPr>
      <w:r>
        <w:t>经验层面，报告将自我、心理时间、瞬时痛苦、持续情绪、累计疲劳明确拆分；公开第一人称材料的两批探索性留出验证（共24例，匿名编码）显示不同问题呈不同动力签名，而不是同一“严重程度”总分。现代独立研究分别观察到积极反证更新困难及“先更新后反转”、缓解期残留的情绪网络稠密与区分度降低、情绪概念压缩、自我网络动态、临界转变信号、持续认知的生理负荷，以及年龄和文化对心理权重与网络关系的系统性调节。跨年龄、跨文化证据同时否定了“痕迹越多越病”“变化越多越健康”“固定自我是所有病理唯一入口”等过强版本。</w:t>
      </w:r>
    </w:p>
    <w:p>
      <w:pPr>
        <w:ind w:firstLine="420"/>
      </w:pPr>
      <w:r>
        <w:t>最终冻结模型命名为“发生—约束动力学（Occurrence–Constraint Dynamics）”。其核心不是替代现有诊断，而是提出一个更底层、可证伪的问题：什么临时关系结构在什么条件下取得了超出现实支持的固定控制权，从而限制下一轮发生；又在什么条件下，历史被承接但不再统治现在，使新的关系仍可生成。</w:t>
      </w:r>
    </w:p>
    <w:tbl>
      <w:tblPr>
        <w:tblW w:type="auto" w:w="0"/>
        <w:jc w:val="center"/>
        <w:tblLook w:firstColumn="1" w:firstRow="1" w:lastColumn="0" w:lastRow="0" w:noHBand="0" w:noVBand="1" w:val="04A0"/>
      </w:tblPr>
      <w:tblGrid>
        <w:gridCol w:w="9519"/>
      </w:tblGrid>
      <w:tr>
        <w:tc>
          <w:tcPr>
            <w:tcW w:type="dxa" w:w="9519"/>
            <w:shd w:fill="EAF0F5"/>
            <w:tcMar>
              <w:top w:w="120" w:type="dxa"/>
              <w:start w:w="160" w:type="dxa"/>
              <w:bottom w:w="120" w:type="dxa"/>
              <w:end w:w="160" w:type="dxa"/>
            </w:tcMar>
          </w:tcPr>
          <w:p>
            <w:pPr>
              <w:ind w:firstLine="0"/>
            </w:pPr>
            <w:r>
              <w:rPr>
                <w:rFonts w:ascii="Noto Sans CJK SC" w:hAnsi="Noto Sans CJK SC" w:eastAsia="Noto Sans CJK SC"/>
                <w:b/>
                <w:color w:val="1F364E"/>
                <w:sz w:val="20"/>
              </w:rPr>
              <w:t xml:space="preserve">一句话冻结  </w:t>
            </w:r>
            <w:r>
              <w:rPr>
                <w:rFonts w:ascii="Noto Serif CJK SC" w:hAnsi="Noto Serif CJK SC" w:eastAsia="Noto Serif CJK SC"/>
                <w:color w:val="232323"/>
                <w:sz w:val="19"/>
              </w:rPr>
              <w:t>有痕不住，相续能生。历史必须进入现在，否则没有连续；历史又不能取得对现在的绝对统治，否则没有生成。</w:t>
            </w:r>
          </w:p>
        </w:tc>
      </w:tr>
    </w:tbl>
    <w:p>
      <w:pPr>
        <w:pStyle w:val="Heading1"/>
        <w:keepNext/>
        <w:keepLines/>
      </w:pPr>
      <w:r>
        <w:t>研究分层与结论等级</w:t>
      </w:r>
    </w:p>
    <w:tbl>
      <w:tblPr>
        <w:tblStyle w:val="TableGrid"/>
        <w:tblW w:type="auto" w:w="0"/>
        <w:jc w:val="center"/>
        <w:tblLook w:firstColumn="1" w:firstRow="1" w:lastColumn="0" w:lastRow="0" w:noHBand="0" w:noVBand="1" w:val="04A0"/>
      </w:tblPr>
      <w:tblGrid>
        <w:gridCol w:w="2380"/>
        <w:gridCol w:w="2380"/>
        <w:gridCol w:w="2380"/>
        <w:gridCol w:w="2380"/>
      </w:tblGrid>
      <w:tr>
        <w:tc>
          <w:tcPr>
            <w:tcW w:type="dxa" w:w="2380"/>
            <w:shd w:fill="EAF0F5"/>
            <w:vAlign w:val="center"/>
            <w:tcMar>
              <w:top w:w="80" w:type="dxa"/>
              <w:start w:w="100" w:type="dxa"/>
              <w:bottom w:w="80" w:type="dxa"/>
              <w:end w:w="100" w:type="dxa"/>
            </w:tcMar>
          </w:tcPr>
          <w:p>
            <w:pPr>
              <w:jc w:val="center"/>
            </w:pPr>
            <w:r>
              <w:rPr>
                <w:rFonts w:ascii="Noto Sans CJK SC" w:hAnsi="Noto Sans CJK SC" w:eastAsia="Noto Sans CJK SC"/>
                <w:b/>
                <w:color w:val="1F364E"/>
                <w:sz w:val="17"/>
              </w:rPr>
              <w:t>层级</w:t>
            </w:r>
          </w:p>
        </w:tc>
        <w:tc>
          <w:tcPr>
            <w:tcW w:type="dxa" w:w="2380"/>
            <w:shd w:fill="EAF0F5"/>
            <w:vAlign w:val="center"/>
            <w:tcMar>
              <w:top w:w="80" w:type="dxa"/>
              <w:start w:w="100" w:type="dxa"/>
              <w:bottom w:w="80" w:type="dxa"/>
              <w:end w:w="100" w:type="dxa"/>
            </w:tcMar>
          </w:tcPr>
          <w:p>
            <w:pPr>
              <w:jc w:val="center"/>
            </w:pPr>
            <w:r>
              <w:rPr>
                <w:rFonts w:ascii="Noto Sans CJK SC" w:hAnsi="Noto Sans CJK SC" w:eastAsia="Noto Sans CJK SC"/>
                <w:b/>
                <w:color w:val="1F364E"/>
                <w:sz w:val="17"/>
              </w:rPr>
              <w:t>本报告中的含义</w:t>
            </w:r>
          </w:p>
        </w:tc>
        <w:tc>
          <w:tcPr>
            <w:tcW w:type="dxa" w:w="2380"/>
            <w:shd w:fill="EAF0F5"/>
            <w:vAlign w:val="center"/>
            <w:tcMar>
              <w:top w:w="80" w:type="dxa"/>
              <w:start w:w="100" w:type="dxa"/>
              <w:bottom w:w="80" w:type="dxa"/>
              <w:end w:w="100" w:type="dxa"/>
            </w:tcMar>
          </w:tcPr>
          <w:p>
            <w:pPr>
              <w:jc w:val="center"/>
            </w:pPr>
            <w:r>
              <w:rPr>
                <w:rFonts w:ascii="Noto Sans CJK SC" w:hAnsi="Noto Sans CJK SC" w:eastAsia="Noto Sans CJK SC"/>
                <w:b/>
                <w:color w:val="1F364E"/>
                <w:sz w:val="17"/>
              </w:rPr>
              <w:t>可以说什么</w:t>
            </w:r>
          </w:p>
        </w:tc>
        <w:tc>
          <w:tcPr>
            <w:tcW w:type="dxa" w:w="2380"/>
            <w:shd w:fill="EAF0F5"/>
            <w:vAlign w:val="center"/>
            <w:tcMar>
              <w:top w:w="80" w:type="dxa"/>
              <w:start w:w="100" w:type="dxa"/>
              <w:bottom w:w="80" w:type="dxa"/>
              <w:end w:w="100" w:type="dxa"/>
            </w:tcMar>
          </w:tcPr>
          <w:p>
            <w:pPr>
              <w:jc w:val="center"/>
            </w:pPr>
            <w:r>
              <w:rPr>
                <w:rFonts w:ascii="Noto Sans CJK SC" w:hAnsi="Noto Sans CJK SC" w:eastAsia="Noto Sans CJK SC"/>
                <w:b/>
                <w:color w:val="1F364E"/>
                <w:sz w:val="17"/>
              </w:rPr>
              <w:t>不能说什么</w:t>
            </w:r>
          </w:p>
        </w:tc>
      </w:tr>
      <w:tr>
        <w:tc>
          <w:tcPr>
            <w:tcW w:type="dxa" w:w="2380"/>
            <w:vAlign w:val="center"/>
            <w:tcMar>
              <w:top w:w="80" w:type="dxa"/>
              <w:start w:w="100" w:type="dxa"/>
              <w:bottom w:w="80" w:type="dxa"/>
              <w:end w:w="100" w:type="dxa"/>
            </w:tcMar>
          </w:tcPr>
          <w:p>
            <w:pPr>
              <w:ind w:firstLine="0"/>
            </w:pPr>
            <w:r>
              <w:rPr>
                <w:rFonts w:ascii="Noto Serif CJK SC" w:hAnsi="Noto Serif CJK SC" w:eastAsia="Noto Serif CJK SC"/>
                <w:color w:val="232323"/>
                <w:sz w:val="17"/>
              </w:rPr>
              <w:t>A 作者原文明确</w:t>
            </w:r>
          </w:p>
        </w:tc>
        <w:tc>
          <w:tcPr>
            <w:tcW w:type="dxa" w:w="2380"/>
            <w:vAlign w:val="center"/>
            <w:tcMar>
              <w:top w:w="80" w:type="dxa"/>
              <w:start w:w="100" w:type="dxa"/>
              <w:bottom w:w="80" w:type="dxa"/>
              <w:end w:w="100" w:type="dxa"/>
            </w:tcMar>
          </w:tcPr>
          <w:p>
            <w:pPr>
              <w:ind w:firstLine="0"/>
            </w:pPr>
            <w:r>
              <w:rPr>
                <w:rFonts w:ascii="Noto Serif CJK SC" w:hAnsi="Noto Serif CJK SC" w:eastAsia="Noto Serif CJK SC"/>
                <w:color w:val="232323"/>
                <w:sz w:val="17"/>
              </w:rPr>
              <w:t>作者文本直接表达</w:t>
            </w:r>
          </w:p>
        </w:tc>
        <w:tc>
          <w:tcPr>
            <w:tcW w:type="dxa" w:w="2380"/>
            <w:vAlign w:val="center"/>
            <w:tcMar>
              <w:top w:w="80" w:type="dxa"/>
              <w:start w:w="100" w:type="dxa"/>
              <w:bottom w:w="80" w:type="dxa"/>
              <w:end w:w="100" w:type="dxa"/>
            </w:tcMar>
          </w:tcPr>
          <w:p>
            <w:pPr>
              <w:ind w:firstLine="0"/>
            </w:pPr>
            <w:r>
              <w:rPr>
                <w:rFonts w:ascii="Noto Serif CJK SC" w:hAnsi="Noto Serif CJK SC" w:eastAsia="Noto Serif CJK SC"/>
                <w:color w:val="232323"/>
                <w:sz w:val="17"/>
              </w:rPr>
              <w:t>准确呈现作者的概念、比喻与方法</w:t>
            </w:r>
          </w:p>
        </w:tc>
        <w:tc>
          <w:tcPr>
            <w:tcW w:type="dxa" w:w="2380"/>
            <w:vAlign w:val="center"/>
            <w:tcMar>
              <w:top w:w="80" w:type="dxa"/>
              <w:start w:w="100" w:type="dxa"/>
              <w:bottom w:w="80" w:type="dxa"/>
              <w:end w:w="100" w:type="dxa"/>
            </w:tcMar>
          </w:tcPr>
          <w:p>
            <w:pPr>
              <w:ind w:firstLine="0"/>
            </w:pPr>
            <w:r>
              <w:rPr>
                <w:rFonts w:ascii="Noto Serif CJK SC" w:hAnsi="Noto Serif CJK SC" w:eastAsia="Noto Serif CJK SC"/>
                <w:color w:val="232323"/>
                <w:sz w:val="17"/>
              </w:rPr>
              <w:t>不能自动升级为现代科学事实</w:t>
            </w:r>
          </w:p>
        </w:tc>
      </w:tr>
      <w:tr>
        <w:tc>
          <w:tcPr>
            <w:tcW w:type="dxa" w:w="2380"/>
            <w:vAlign w:val="center"/>
            <w:tcMar>
              <w:top w:w="80" w:type="dxa"/>
              <w:start w:w="100" w:type="dxa"/>
              <w:bottom w:w="80" w:type="dxa"/>
              <w:end w:w="100" w:type="dxa"/>
            </w:tcMar>
          </w:tcPr>
          <w:p>
            <w:pPr>
              <w:ind w:firstLine="0"/>
            </w:pPr>
            <w:r>
              <w:rPr>
                <w:rFonts w:ascii="Noto Serif CJK SC" w:hAnsi="Noto Serif CJK SC" w:eastAsia="Noto Serif CJK SC"/>
                <w:color w:val="232323"/>
                <w:sz w:val="17"/>
              </w:rPr>
              <w:t>B 严格数学/形式结果</w:t>
            </w:r>
          </w:p>
        </w:tc>
        <w:tc>
          <w:tcPr>
            <w:tcW w:type="dxa" w:w="2380"/>
            <w:vAlign w:val="center"/>
            <w:tcMar>
              <w:top w:w="80" w:type="dxa"/>
              <w:start w:w="100" w:type="dxa"/>
              <w:bottom w:w="80" w:type="dxa"/>
              <w:end w:w="100" w:type="dxa"/>
            </w:tcMar>
          </w:tcPr>
          <w:p>
            <w:pPr>
              <w:ind w:firstLine="0"/>
            </w:pPr>
            <w:r>
              <w:rPr>
                <w:rFonts w:ascii="Noto Serif CJK SC" w:hAnsi="Noto Serif CJK SC" w:eastAsia="Noto Serif CJK SC"/>
                <w:color w:val="232323"/>
                <w:sz w:val="17"/>
              </w:rPr>
              <w:t>在已写明假设下可推导</w:t>
            </w:r>
          </w:p>
        </w:tc>
        <w:tc>
          <w:tcPr>
            <w:tcW w:type="dxa" w:w="2380"/>
            <w:vAlign w:val="center"/>
            <w:tcMar>
              <w:top w:w="80" w:type="dxa"/>
              <w:start w:w="100" w:type="dxa"/>
              <w:bottom w:w="80" w:type="dxa"/>
              <w:end w:w="100" w:type="dxa"/>
            </w:tcMar>
          </w:tcPr>
          <w:p>
            <w:pPr>
              <w:ind w:firstLine="0"/>
            </w:pPr>
            <w:r>
              <w:rPr>
                <w:rFonts w:ascii="Noto Serif CJK SC" w:hAnsi="Noto Serif CJK SC" w:eastAsia="Noto Serif CJK SC"/>
                <w:color w:val="232323"/>
                <w:sz w:val="17"/>
              </w:rPr>
              <w:t>可以给出定理、极值、阈值与反例</w:t>
            </w:r>
          </w:p>
        </w:tc>
        <w:tc>
          <w:tcPr>
            <w:tcW w:type="dxa" w:w="2380"/>
            <w:vAlign w:val="center"/>
            <w:tcMar>
              <w:top w:w="80" w:type="dxa"/>
              <w:start w:w="100" w:type="dxa"/>
              <w:bottom w:w="80" w:type="dxa"/>
              <w:end w:w="100" w:type="dxa"/>
            </w:tcMar>
          </w:tcPr>
          <w:p>
            <w:pPr>
              <w:ind w:firstLine="0"/>
            </w:pPr>
            <w:r>
              <w:rPr>
                <w:rFonts w:ascii="Noto Serif CJK SC" w:hAnsi="Noto Serif CJK SC" w:eastAsia="Noto Serif CJK SC"/>
                <w:color w:val="232323"/>
                <w:sz w:val="17"/>
              </w:rPr>
              <w:t>不能说自然界或临床一定采用该模型</w:t>
            </w:r>
          </w:p>
        </w:tc>
      </w:tr>
      <w:tr>
        <w:tc>
          <w:tcPr>
            <w:tcW w:type="dxa" w:w="2380"/>
            <w:vAlign w:val="center"/>
            <w:tcMar>
              <w:top w:w="80" w:type="dxa"/>
              <w:start w:w="100" w:type="dxa"/>
              <w:bottom w:w="80" w:type="dxa"/>
              <w:end w:w="100" w:type="dxa"/>
            </w:tcMar>
          </w:tcPr>
          <w:p>
            <w:pPr>
              <w:ind w:firstLine="0"/>
            </w:pPr>
            <w:r>
              <w:rPr>
                <w:rFonts w:ascii="Noto Serif CJK SC" w:hAnsi="Noto Serif CJK SC" w:eastAsia="Noto Serif CJK SC"/>
                <w:color w:val="232323"/>
                <w:sz w:val="17"/>
              </w:rPr>
              <w:t>C 现代已知接口</w:t>
            </w:r>
          </w:p>
        </w:tc>
        <w:tc>
          <w:tcPr>
            <w:tcW w:type="dxa" w:w="2380"/>
            <w:vAlign w:val="center"/>
            <w:tcMar>
              <w:top w:w="80" w:type="dxa"/>
              <w:start w:w="100" w:type="dxa"/>
              <w:bottom w:w="80" w:type="dxa"/>
              <w:end w:w="100" w:type="dxa"/>
            </w:tcMar>
          </w:tcPr>
          <w:p>
            <w:pPr>
              <w:ind w:firstLine="0"/>
            </w:pPr>
            <w:r>
              <w:rPr>
                <w:rFonts w:ascii="Noto Serif CJK SC" w:hAnsi="Noto Serif CJK SC" w:eastAsia="Noto Serif CJK SC"/>
                <w:color w:val="232323"/>
                <w:sz w:val="17"/>
              </w:rPr>
              <w:t>现代文献存在相同/邻近结构</w:t>
            </w:r>
          </w:p>
        </w:tc>
        <w:tc>
          <w:tcPr>
            <w:tcW w:type="dxa" w:w="2380"/>
            <w:vAlign w:val="center"/>
            <w:tcMar>
              <w:top w:w="80" w:type="dxa"/>
              <w:start w:w="100" w:type="dxa"/>
              <w:bottom w:w="80" w:type="dxa"/>
              <w:end w:w="100" w:type="dxa"/>
            </w:tcMar>
          </w:tcPr>
          <w:p>
            <w:pPr>
              <w:ind w:firstLine="0"/>
            </w:pPr>
            <w:r>
              <w:rPr>
                <w:rFonts w:ascii="Noto Serif CJK SC" w:hAnsi="Noto Serif CJK SC" w:eastAsia="Noto Serif CJK SC"/>
                <w:color w:val="232323"/>
                <w:sz w:val="17"/>
              </w:rPr>
              <w:t>可以说结构相容、方向支持或提供外部接口</w:t>
            </w:r>
          </w:p>
        </w:tc>
        <w:tc>
          <w:tcPr>
            <w:tcW w:type="dxa" w:w="2380"/>
            <w:vAlign w:val="center"/>
            <w:tcMar>
              <w:top w:w="80" w:type="dxa"/>
              <w:start w:w="100" w:type="dxa"/>
              <w:bottom w:w="80" w:type="dxa"/>
              <w:end w:w="100" w:type="dxa"/>
            </w:tcMar>
          </w:tcPr>
          <w:p>
            <w:pPr>
              <w:ind w:firstLine="0"/>
            </w:pPr>
            <w:r>
              <w:rPr>
                <w:rFonts w:ascii="Noto Serif CJK SC" w:hAnsi="Noto Serif CJK SC" w:eastAsia="Noto Serif CJK SC"/>
                <w:color w:val="232323"/>
                <w:sz w:val="17"/>
              </w:rPr>
              <w:t>不能说现代研究已经证明精神现实主义</w:t>
            </w:r>
          </w:p>
        </w:tc>
      </w:tr>
      <w:tr>
        <w:tc>
          <w:tcPr>
            <w:tcW w:type="dxa" w:w="2380"/>
            <w:vAlign w:val="center"/>
            <w:tcMar>
              <w:top w:w="80" w:type="dxa"/>
              <w:start w:w="100" w:type="dxa"/>
              <w:bottom w:w="80" w:type="dxa"/>
              <w:end w:w="100" w:type="dxa"/>
            </w:tcMar>
          </w:tcPr>
          <w:p>
            <w:pPr>
              <w:ind w:firstLine="0"/>
            </w:pPr>
            <w:r>
              <w:rPr>
                <w:rFonts w:ascii="Noto Serif CJK SC" w:hAnsi="Noto Serif CJK SC" w:eastAsia="Noto Serif CJK SC"/>
                <w:color w:val="232323"/>
                <w:sz w:val="17"/>
              </w:rPr>
              <w:t>D 新候选模型/推论</w:t>
            </w:r>
          </w:p>
        </w:tc>
        <w:tc>
          <w:tcPr>
            <w:tcW w:type="dxa" w:w="2380"/>
            <w:vAlign w:val="center"/>
            <w:tcMar>
              <w:top w:w="80" w:type="dxa"/>
              <w:start w:w="100" w:type="dxa"/>
              <w:bottom w:w="80" w:type="dxa"/>
              <w:end w:w="100" w:type="dxa"/>
            </w:tcMar>
          </w:tcPr>
          <w:p>
            <w:pPr>
              <w:ind w:firstLine="0"/>
            </w:pPr>
            <w:r>
              <w:rPr>
                <w:rFonts w:ascii="Noto Serif CJK SC" w:hAnsi="Noto Serif CJK SC" w:eastAsia="Noto Serif CJK SC"/>
                <w:color w:val="232323"/>
                <w:sz w:val="17"/>
              </w:rPr>
              <w:t>本研究协作新增形式化</w:t>
            </w:r>
          </w:p>
        </w:tc>
        <w:tc>
          <w:tcPr>
            <w:tcW w:type="dxa" w:w="2380"/>
            <w:vAlign w:val="center"/>
            <w:tcMar>
              <w:top w:w="80" w:type="dxa"/>
              <w:start w:w="100" w:type="dxa"/>
              <w:bottom w:w="80" w:type="dxa"/>
              <w:end w:w="100" w:type="dxa"/>
            </w:tcMar>
          </w:tcPr>
          <w:p>
            <w:pPr>
              <w:ind w:firstLine="0"/>
            </w:pPr>
            <w:r>
              <w:rPr>
                <w:rFonts w:ascii="Noto Serif CJK SC" w:hAnsi="Noto Serif CJK SC" w:eastAsia="Noto Serif CJK SC"/>
                <w:color w:val="232323"/>
                <w:sz w:val="17"/>
              </w:rPr>
              <w:t>可以预注册、预测、被实验杀死</w:t>
            </w:r>
          </w:p>
        </w:tc>
        <w:tc>
          <w:tcPr>
            <w:tcW w:type="dxa" w:w="2380"/>
            <w:vAlign w:val="center"/>
            <w:tcMar>
              <w:top w:w="80" w:type="dxa"/>
              <w:start w:w="100" w:type="dxa"/>
              <w:bottom w:w="80" w:type="dxa"/>
              <w:end w:w="100" w:type="dxa"/>
            </w:tcMar>
          </w:tcPr>
          <w:p>
            <w:pPr>
              <w:ind w:firstLine="0"/>
            </w:pPr>
            <w:r>
              <w:rPr>
                <w:rFonts w:ascii="Noto Serif CJK SC" w:hAnsi="Noto Serif CJK SC" w:eastAsia="Noto Serif CJK SC"/>
                <w:color w:val="232323"/>
                <w:sz w:val="17"/>
              </w:rPr>
              <w:t>不能当作已验证病因或治疗机制</w:t>
            </w:r>
          </w:p>
        </w:tc>
      </w:tr>
      <w:tr>
        <w:tc>
          <w:tcPr>
            <w:tcW w:type="dxa" w:w="2380"/>
            <w:vAlign w:val="center"/>
            <w:tcMar>
              <w:top w:w="80" w:type="dxa"/>
              <w:start w:w="100" w:type="dxa"/>
              <w:bottom w:w="80" w:type="dxa"/>
              <w:end w:w="100" w:type="dxa"/>
            </w:tcMar>
          </w:tcPr>
          <w:p>
            <w:pPr>
              <w:ind w:firstLine="0"/>
            </w:pPr>
            <w:r>
              <w:rPr>
                <w:rFonts w:ascii="Noto Serif CJK SC" w:hAnsi="Noto Serif CJK SC" w:eastAsia="Noto Serif CJK SC"/>
                <w:color w:val="232323"/>
                <w:sz w:val="17"/>
              </w:rPr>
              <w:t>E 开放实证/历史主张</w:t>
            </w:r>
          </w:p>
        </w:tc>
        <w:tc>
          <w:tcPr>
            <w:tcW w:type="dxa" w:w="2380"/>
            <w:vAlign w:val="center"/>
            <w:tcMar>
              <w:top w:w="80" w:type="dxa"/>
              <w:start w:w="100" w:type="dxa"/>
              <w:bottom w:w="80" w:type="dxa"/>
              <w:end w:w="100" w:type="dxa"/>
            </w:tcMar>
          </w:tcPr>
          <w:p>
            <w:pPr>
              <w:ind w:firstLine="0"/>
            </w:pPr>
            <w:r>
              <w:rPr>
                <w:rFonts w:ascii="Noto Serif CJK SC" w:hAnsi="Noto Serif CJK SC" w:eastAsia="Noto Serif CJK SC"/>
                <w:color w:val="232323"/>
                <w:sz w:val="17"/>
              </w:rPr>
              <w:t>尚缺独立验证</w:t>
            </w:r>
          </w:p>
        </w:tc>
        <w:tc>
          <w:tcPr>
            <w:tcW w:type="dxa" w:w="2380"/>
            <w:vAlign w:val="center"/>
            <w:tcMar>
              <w:top w:w="80" w:type="dxa"/>
              <w:start w:w="100" w:type="dxa"/>
              <w:bottom w:w="80" w:type="dxa"/>
              <w:end w:w="100" w:type="dxa"/>
            </w:tcMar>
          </w:tcPr>
          <w:p>
            <w:pPr>
              <w:ind w:firstLine="0"/>
            </w:pPr>
            <w:r>
              <w:rPr>
                <w:rFonts w:ascii="Noto Serif CJK SC" w:hAnsi="Noto Serif CJK SC" w:eastAsia="Noto Serif CJK SC"/>
                <w:color w:val="232323"/>
                <w:sz w:val="17"/>
              </w:rPr>
              <w:t>必须保留为开放问题</w:t>
            </w:r>
          </w:p>
        </w:tc>
        <w:tc>
          <w:tcPr>
            <w:tcW w:type="dxa" w:w="2380"/>
            <w:vAlign w:val="center"/>
            <w:tcMar>
              <w:top w:w="80" w:type="dxa"/>
              <w:start w:w="100" w:type="dxa"/>
              <w:bottom w:w="80" w:type="dxa"/>
              <w:end w:w="100" w:type="dxa"/>
            </w:tcMar>
          </w:tcPr>
          <w:p>
            <w:pPr>
              <w:ind w:firstLine="0"/>
            </w:pPr>
            <w:r>
              <w:rPr>
                <w:rFonts w:ascii="Noto Serif CJK SC" w:hAnsi="Noto Serif CJK SC" w:eastAsia="Noto Serif CJK SC"/>
                <w:color w:val="232323"/>
                <w:sz w:val="17"/>
              </w:rPr>
              <w:t>不能以内部一致性代替现实证据</w:t>
            </w:r>
          </w:p>
        </w:tc>
      </w:tr>
      <w:tr>
        <w:tc>
          <w:tcPr>
            <w:tcW w:type="dxa" w:w="2380"/>
            <w:vAlign w:val="center"/>
            <w:tcMar>
              <w:top w:w="80" w:type="dxa"/>
              <w:start w:w="100" w:type="dxa"/>
              <w:bottom w:w="80" w:type="dxa"/>
              <w:end w:w="100" w:type="dxa"/>
            </w:tcMar>
          </w:tcPr>
          <w:p>
            <w:pPr>
              <w:ind w:firstLine="0"/>
            </w:pPr>
            <w:r>
              <w:rPr>
                <w:rFonts w:ascii="Noto Serif CJK SC" w:hAnsi="Noto Serif CJK SC" w:eastAsia="Noto Serif CJK SC"/>
                <w:color w:val="232323"/>
                <w:sz w:val="17"/>
              </w:rPr>
              <w:t>F 失败/否定路线</w:t>
            </w:r>
          </w:p>
        </w:tc>
        <w:tc>
          <w:tcPr>
            <w:tcW w:type="dxa" w:w="2380"/>
            <w:vAlign w:val="center"/>
            <w:tcMar>
              <w:top w:w="80" w:type="dxa"/>
              <w:start w:w="100" w:type="dxa"/>
              <w:bottom w:w="80" w:type="dxa"/>
              <w:end w:w="100" w:type="dxa"/>
            </w:tcMar>
          </w:tcPr>
          <w:p>
            <w:pPr>
              <w:ind w:firstLine="0"/>
            </w:pPr>
            <w:r>
              <w:rPr>
                <w:rFonts w:ascii="Noto Serif CJK SC" w:hAnsi="Noto Serif CJK SC" w:eastAsia="Noto Serif CJK SC"/>
                <w:color w:val="232323"/>
                <w:sz w:val="17"/>
              </w:rPr>
              <w:t>被数学、资料或反例否掉</w:t>
            </w:r>
          </w:p>
        </w:tc>
        <w:tc>
          <w:tcPr>
            <w:tcW w:type="dxa" w:w="2380"/>
            <w:vAlign w:val="center"/>
            <w:tcMar>
              <w:top w:w="80" w:type="dxa"/>
              <w:start w:w="100" w:type="dxa"/>
              <w:bottom w:w="80" w:type="dxa"/>
              <w:end w:w="100" w:type="dxa"/>
            </w:tcMar>
          </w:tcPr>
          <w:p>
            <w:pPr>
              <w:ind w:firstLine="0"/>
            </w:pPr>
            <w:r>
              <w:rPr>
                <w:rFonts w:ascii="Noto Serif CJK SC" w:hAnsi="Noto Serif CJK SC" w:eastAsia="Noto Serif CJK SC"/>
                <w:color w:val="232323"/>
                <w:sz w:val="17"/>
              </w:rPr>
              <w:t>保留失败记录并用于收紧理论</w:t>
            </w:r>
          </w:p>
        </w:tc>
        <w:tc>
          <w:tcPr>
            <w:tcW w:type="dxa" w:w="2380"/>
            <w:vAlign w:val="center"/>
            <w:tcMar>
              <w:top w:w="80" w:type="dxa"/>
              <w:start w:w="100" w:type="dxa"/>
              <w:bottom w:w="80" w:type="dxa"/>
              <w:end w:w="100" w:type="dxa"/>
            </w:tcMar>
          </w:tcPr>
          <w:p>
            <w:pPr>
              <w:ind w:firstLine="0"/>
            </w:pPr>
            <w:r>
              <w:rPr>
                <w:rFonts w:ascii="Noto Serif CJK SC" w:hAnsi="Noto Serif CJK SC" w:eastAsia="Noto Serif CJK SC"/>
                <w:color w:val="232323"/>
                <w:sz w:val="17"/>
              </w:rPr>
              <w:t>不能删除失败后只展示成功</w:t>
            </w:r>
          </w:p>
        </w:tc>
      </w:tr>
    </w:tbl>
    <w:p>
      <w:pPr>
        <w:pStyle w:val="Heading1"/>
        <w:keepNext/>
        <w:keepLines/>
      </w:pPr>
      <w:r>
        <w:t>目录</w:t>
      </w:r>
    </w:p>
    <w:p>
      <w:pPr>
        <w:pStyle w:val="ListBullet"/>
        <w:ind w:firstLine="0" w:left="425"/>
      </w:pPr>
      <w:r>
        <w:rPr>
          <w:rFonts w:ascii="Noto Serif CJK SC" w:hAnsi="Noto Serif CJK SC" w:eastAsia="Noto Serif CJK SC"/>
          <w:color w:val="232323"/>
          <w:sz w:val="20"/>
        </w:rPr>
        <w:t>1. 研究对象与方法纪律</w:t>
      </w:r>
    </w:p>
    <w:p>
      <w:pPr>
        <w:pStyle w:val="ListBullet"/>
        <w:ind w:firstLine="0" w:left="425"/>
      </w:pPr>
      <w:r>
        <w:rPr>
          <w:rFonts w:ascii="Noto Serif CJK SC" w:hAnsi="Noto Serif CJK SC" w:eastAsia="Noto Serif CJK SC"/>
          <w:color w:val="232323"/>
          <w:sz w:val="20"/>
        </w:rPr>
        <w:t>2. 原文底座：发生、痕迹、名相、我、时间与情绪</w:t>
      </w:r>
    </w:p>
    <w:p>
      <w:pPr>
        <w:pStyle w:val="ListBullet"/>
        <w:ind w:firstLine="0" w:left="425"/>
      </w:pPr>
      <w:r>
        <w:rPr>
          <w:rFonts w:ascii="Noto Serif CJK SC" w:hAnsi="Noto Serif CJK SC" w:eastAsia="Noto Serif CJK SC"/>
          <w:color w:val="232323"/>
          <w:sz w:val="20"/>
        </w:rPr>
        <w:t>3. 从系统论到系统发生论：相续与新生</w:t>
      </w:r>
    </w:p>
    <w:p>
      <w:pPr>
        <w:pStyle w:val="ListBullet"/>
        <w:ind w:firstLine="0" w:left="425"/>
      </w:pPr>
      <w:r>
        <w:rPr>
          <w:rFonts w:ascii="Noto Serif CJK SC" w:hAnsi="Noto Serif CJK SC" w:eastAsia="Noto Serif CJK SC"/>
          <w:color w:val="232323"/>
          <w:sz w:val="20"/>
        </w:rPr>
        <w:t>4. 最终母模型：关系约束本体化</w:t>
      </w:r>
    </w:p>
    <w:p>
      <w:pPr>
        <w:pStyle w:val="ListBullet"/>
        <w:ind w:firstLine="0" w:left="425"/>
      </w:pPr>
      <w:r>
        <w:rPr>
          <w:rFonts w:ascii="Noto Serif CJK SC" w:hAnsi="Noto Serif CJK SC" w:eastAsia="Noto Serif CJK SC"/>
          <w:color w:val="232323"/>
          <w:sz w:val="20"/>
        </w:rPr>
        <w:t>5. 自我、心理时间、痛苦、情绪与累的严格拆分</w:t>
      </w:r>
    </w:p>
    <w:p>
      <w:pPr>
        <w:pStyle w:val="ListBullet"/>
        <w:ind w:firstLine="0" w:left="425"/>
      </w:pPr>
      <w:r>
        <w:rPr>
          <w:rFonts w:ascii="Noto Serif CJK SC" w:hAnsi="Noto Serif CJK SC" w:eastAsia="Noto Serif CJK SC"/>
          <w:color w:val="232323"/>
          <w:sz w:val="20"/>
        </w:rPr>
        <w:t>6. 发生有效秩：从多向现实到单一解释</w:t>
      </w:r>
    </w:p>
    <w:p>
      <w:pPr>
        <w:pStyle w:val="ListBullet"/>
        <w:ind w:firstLine="0" w:left="425"/>
      </w:pPr>
      <w:r>
        <w:rPr>
          <w:rFonts w:ascii="Noto Serif CJK SC" w:hAnsi="Noto Serif CJK SC" w:eastAsia="Noto Serif CJK SC"/>
          <w:color w:val="232323"/>
          <w:sz w:val="20"/>
        </w:rPr>
        <w:t>7. 约束本体化相变：阈值、双稳态、滞后与临界减速</w:t>
      </w:r>
    </w:p>
    <w:p>
      <w:pPr>
        <w:pStyle w:val="ListBullet"/>
        <w:ind w:firstLine="0" w:left="425"/>
      </w:pPr>
      <w:r>
        <w:rPr>
          <w:rFonts w:ascii="Noto Serif CJK SC" w:hAnsi="Noto Serif CJK SC" w:eastAsia="Noto Serif CJK SC"/>
          <w:color w:val="232323"/>
          <w:sz w:val="20"/>
        </w:rPr>
        <w:t>8. 与现代心理学前沿的接口与差异</w:t>
      </w:r>
    </w:p>
    <w:p>
      <w:pPr>
        <w:pStyle w:val="ListBullet"/>
        <w:ind w:firstLine="0" w:left="425"/>
      </w:pPr>
      <w:r>
        <w:rPr>
          <w:rFonts w:ascii="Noto Serif CJK SC" w:hAnsi="Noto Serif CJK SC" w:eastAsia="Noto Serif CJK SC"/>
          <w:color w:val="232323"/>
          <w:sz w:val="20"/>
        </w:rPr>
        <w:t>9. 公开现实案例的预验证与隐私纪律</w:t>
      </w:r>
    </w:p>
    <w:p>
      <w:pPr>
        <w:pStyle w:val="ListBullet"/>
        <w:ind w:firstLine="0" w:left="425"/>
      </w:pPr>
      <w:r>
        <w:rPr>
          <w:rFonts w:ascii="Noto Serif CJK SC" w:hAnsi="Noto Serif CJK SC" w:eastAsia="Noto Serif CJK SC"/>
          <w:color w:val="232323"/>
          <w:sz w:val="20"/>
        </w:rPr>
        <w:t>10. 年龄与文化：权重矩阵而非普世固定内容</w:t>
      </w:r>
    </w:p>
    <w:p>
      <w:pPr>
        <w:pStyle w:val="ListBullet"/>
        <w:ind w:firstLine="0" w:left="425"/>
      </w:pPr>
      <w:r>
        <w:rPr>
          <w:rFonts w:ascii="Noto Serif CJK SC" w:hAnsi="Noto Serif CJK SC" w:eastAsia="Noto Serif CJK SC"/>
          <w:color w:val="232323"/>
          <w:sz w:val="20"/>
        </w:rPr>
        <w:t>11. 与基础物理研究的共同母结构</w:t>
      </w:r>
    </w:p>
    <w:p>
      <w:pPr>
        <w:pStyle w:val="ListBullet"/>
        <w:ind w:firstLine="0" w:left="425"/>
      </w:pPr>
      <w:r>
        <w:rPr>
          <w:rFonts w:ascii="Noto Serif CJK SC" w:hAnsi="Noto Serif CJK SC" w:eastAsia="Noto Serif CJK SC"/>
          <w:color w:val="232323"/>
          <w:sz w:val="20"/>
        </w:rPr>
        <w:t>12. 失败路线、反例与理论修正</w:t>
      </w:r>
    </w:p>
    <w:p>
      <w:pPr>
        <w:pStyle w:val="ListBullet"/>
        <w:ind w:firstLine="0" w:left="425"/>
      </w:pPr>
      <w:r>
        <w:rPr>
          <w:rFonts w:ascii="Noto Serif CJK SC" w:hAnsi="Noto Serif CJK SC" w:eastAsia="Noto Serif CJK SC"/>
          <w:color w:val="232323"/>
          <w:sz w:val="20"/>
        </w:rPr>
        <w:t>13. 冻结预测、正式实验协议与判死标准</w:t>
      </w:r>
    </w:p>
    <w:p>
      <w:pPr>
        <w:pStyle w:val="ListBullet"/>
        <w:ind w:firstLine="0" w:left="425"/>
      </w:pPr>
      <w:r>
        <w:rPr>
          <w:rFonts w:ascii="Noto Serif CJK SC" w:hAnsi="Noto Serif CJK SC" w:eastAsia="Noto Serif CJK SC"/>
          <w:color w:val="232323"/>
          <w:sz w:val="20"/>
        </w:rPr>
        <w:t>14. 最终结论</w:t>
      </w:r>
    </w:p>
    <w:p>
      <w:pPr>
        <w:pStyle w:val="ListBullet"/>
        <w:ind w:firstLine="0" w:left="425"/>
      </w:pPr>
      <w:r>
        <w:rPr>
          <w:rFonts w:ascii="Noto Serif CJK SC" w:hAnsi="Noto Serif CJK SC" w:eastAsia="Noto Serif CJK SC"/>
          <w:color w:val="232323"/>
          <w:sz w:val="20"/>
        </w:rPr>
        <w:t>附录A 记号与公式；附录B 案例编码表；附录C 原文定位；参考文献</w:t>
      </w:r>
    </w:p>
    <w:p>
      <w:pPr>
        <w:pStyle w:val="Heading1"/>
        <w:keepNext/>
        <w:keepLines/>
      </w:pPr>
      <w:r>
        <w:t>1. 研究对象与方法纪律</w:t>
      </w:r>
    </w:p>
    <w:p>
      <w:r>
        <w:t>本报告不是从某一种疾病标签出发寻找共同症状，而是从“发生如何形成临时关系系统”这一更底层问题出发，再反向检查抑郁、哀伤、倦怠、关系破裂、焦虑与非标签生活困境是否呈现共同动力结构。诊断标签只作为一个可能的分层变量，不作为模型的本体。</w:t>
      </w:r>
    </w:p>
    <w:p>
      <w:pPr>
        <w:pStyle w:val="Heading2"/>
        <w:keepNext/>
        <w:keepLines/>
      </w:pPr>
      <w:r>
        <w:t>1.1 原文优先与逆向验证</w:t>
      </w:r>
    </w:p>
    <w:p>
      <w:pPr>
        <w:pStyle w:val="ListNumber"/>
        <w:ind w:firstLine="0"/>
      </w:pPr>
      <w:r>
        <w:rPr>
          <w:rFonts w:ascii="Noto Serif CJK SC" w:hAnsi="Noto Serif CJK SC" w:eastAsia="Noto Serif CJK SC"/>
          <w:color w:val="232323"/>
          <w:sz w:val="20"/>
        </w:rPr>
        <w:t>先读作者原文，保留比喻的结构意义，不把“河流、照片、鸟、杯子、刹车、转弯、死海”等当作装饰。</w:t>
      </w:r>
    </w:p>
    <w:p>
      <w:pPr>
        <w:pStyle w:val="ListNumber"/>
        <w:ind w:firstLine="0"/>
      </w:pPr>
      <w:r>
        <w:rPr>
          <w:rFonts w:ascii="Noto Serif CJK SC" w:hAnsi="Noto Serif CJK SC" w:eastAsia="Noto Serif CJK SC"/>
          <w:color w:val="232323"/>
          <w:sz w:val="20"/>
        </w:rPr>
        <w:t>把作者命题翻译为最小数学模型，并明确写出额外假设。</w:t>
      </w:r>
    </w:p>
    <w:p>
      <w:pPr>
        <w:pStyle w:val="ListNumber"/>
        <w:ind w:firstLine="0"/>
      </w:pPr>
      <w:r>
        <w:rPr>
          <w:rFonts w:ascii="Noto Serif CJK SC" w:hAnsi="Noto Serif CJK SC" w:eastAsia="Noto Serif CJK SC"/>
          <w:color w:val="232323"/>
          <w:sz w:val="20"/>
        </w:rPr>
        <w:t>在看现实结果前冻结预测；再搜索现代研究与公开经验材料。</w:t>
      </w:r>
    </w:p>
    <w:p>
      <w:pPr>
        <w:pStyle w:val="ListNumber"/>
        <w:ind w:firstLine="0"/>
      </w:pPr>
      <w:r>
        <w:rPr>
          <w:rFonts w:ascii="Noto Serif CJK SC" w:hAnsi="Noto Serif CJK SC" w:eastAsia="Noto Serif CJK SC"/>
          <w:color w:val="232323"/>
          <w:sz w:val="20"/>
        </w:rPr>
        <w:t>对不上时记录失败，不为理论补解释。</w:t>
      </w:r>
    </w:p>
    <w:p>
      <w:pPr>
        <w:pStyle w:val="ListNumber"/>
        <w:ind w:firstLine="0"/>
      </w:pPr>
      <w:r>
        <w:rPr>
          <w:rFonts w:ascii="Noto Serif CJK SC" w:hAnsi="Noto Serif CJK SC" w:eastAsia="Noto Serif CJK SC"/>
          <w:color w:val="232323"/>
          <w:sz w:val="20"/>
        </w:rPr>
        <w:t>现代理论“撞脸”只算接口，不算独创性；真正新颖性必须体现在可区分预测。</w:t>
      </w:r>
    </w:p>
    <w:p>
      <w:pPr>
        <w:pStyle w:val="Heading2"/>
        <w:keepNext/>
        <w:keepLines/>
      </w:pPr>
      <w:r>
        <w:t>1.2 现实案例与隐私纪律</w:t>
      </w:r>
    </w:p>
    <w:p>
      <w:r>
        <w:t>公开案例只用于探索性现象验证。纳入材料必须公开可访问、无需加入私群或绕过权限；排除营销、课程导流、商业挽回、付费墙后个人材料及信息不足的二手转述。未成年人不纳入个人论坛样本。研究输出不保留用户名、头像、具体地点、可识别人生细节，也不联系发帖者。</w:t>
      </w:r>
    </w:p>
    <w:p>
      <w:pPr>
        <w:pStyle w:val="Heading1"/>
        <w:keepNext/>
        <w:keepLines/>
      </w:pPr>
      <w:r>
        <w:t>2. 原文底座：发生、痕迹、名相、我、时间与情绪</w:t>
      </w:r>
    </w:p>
    <w:p>
      <w:pPr>
        <w:pStyle w:val="Heading2"/>
        <w:keepNext/>
        <w:keepLines/>
      </w:pPr>
      <w:r>
        <w:t>2.1 《转》：不是圆周复归，而是每轮内部更新</w:t>
      </w:r>
    </w:p>
    <w:p>
      <w:r>
        <w:t>《转》把“转”作为体系核心：漩涡没有固定形态和固定位置；每转一次，力量下沉一次、内部更新一次。转完一圈形成“新的漩涡”，意味着外观上的周期不能被理解为完整状态回到原点。原文同时把“执着于不放、墨守成规”直接连到病态候选。</w:t>
      </w:r>
    </w:p>
    <w:tbl>
      <w:tblPr>
        <w:tblW w:type="auto" w:w="0"/>
        <w:jc w:val="center"/>
        <w:tblLook w:firstColumn="1" w:firstRow="1" w:lastColumn="0" w:lastRow="0" w:noHBand="0" w:noVBand="1" w:val="04A0"/>
      </w:tblPr>
      <w:tblGrid>
        <w:gridCol w:w="9519"/>
      </w:tblGrid>
      <w:tr>
        <w:tc>
          <w:tcPr>
            <w:tcW w:type="dxa" w:w="9519"/>
            <w:shd w:fill="F3F7FA"/>
            <w:tcMar>
              <w:top w:w="120" w:type="dxa"/>
              <w:start w:w="160" w:type="dxa"/>
              <w:bottom w:w="120" w:type="dxa"/>
              <w:end w:w="160" w:type="dxa"/>
            </w:tcMar>
          </w:tcPr>
          <w:p>
            <w:pPr>
              <w:ind w:firstLine="0"/>
            </w:pPr>
            <w:r>
              <w:rPr>
                <w:rFonts w:ascii="Noto Sans CJK SC" w:hAnsi="Noto Sans CJK SC" w:eastAsia="Noto Sans CJK SC"/>
                <w:b/>
                <w:color w:val="1F364E"/>
                <w:sz w:val="20"/>
              </w:rPr>
              <w:t xml:space="preserve">作者原文定位  </w:t>
            </w:r>
            <w:r>
              <w:rPr>
                <w:rFonts w:ascii="Noto Serif CJK SC" w:hAnsi="Noto Serif CJK SC" w:eastAsia="Noto Serif CJK SC"/>
                <w:color w:val="232323"/>
                <w:sz w:val="19"/>
              </w:rPr>
              <w:t>《转》L4–L16；归档原文第1–2页。</w:t>
            </w:r>
          </w:p>
        </w:tc>
      </w:tr>
    </w:tbl>
    <w:p>
      <w:pPr>
        <w:pStyle w:val="Heading2"/>
        <w:keepNext/>
        <w:keepLines/>
      </w:pPr>
      <w:r>
        <w:t>2.2 名词是动词的瞬间：痕迹不是本体</w:t>
      </w:r>
    </w:p>
    <w:p>
      <w:r>
        <w:t>作者把名词理解为运动留下的痕迹/影子；问题不在命名本身，而在把运动瞬间赋予固定不变意义，再让这个意义阻断转化。写作“死海”比喻进一步说明：表面可以高度活动、产出繁多，但若所有动作只维持同一个固定结构，生成性仍可能趋近于零。</w:t>
      </w:r>
    </w:p>
    <w:tbl>
      <w:tblPr>
        <w:tblW w:type="auto" w:w="0"/>
        <w:jc w:val="center"/>
        <w:tblLook w:firstColumn="1" w:firstRow="1" w:lastColumn="0" w:lastRow="0" w:noHBand="0" w:noVBand="1" w:val="04A0"/>
      </w:tblPr>
      <w:tblGrid>
        <w:gridCol w:w="9519"/>
      </w:tblGrid>
      <w:tr>
        <w:tc>
          <w:tcPr>
            <w:tcW w:type="dxa" w:w="9519"/>
            <w:shd w:fill="F3F7FA"/>
            <w:tcMar>
              <w:top w:w="120" w:type="dxa"/>
              <w:start w:w="160" w:type="dxa"/>
              <w:bottom w:w="120" w:type="dxa"/>
              <w:end w:w="160" w:type="dxa"/>
            </w:tcMar>
          </w:tcPr>
          <w:p>
            <w:pPr>
              <w:ind w:firstLine="0"/>
            </w:pPr>
            <w:r>
              <w:rPr>
                <w:rFonts w:ascii="Noto Sans CJK SC" w:hAnsi="Noto Sans CJK SC" w:eastAsia="Noto Sans CJK SC"/>
                <w:b/>
                <w:color w:val="1F364E"/>
                <w:sz w:val="20"/>
              </w:rPr>
              <w:t xml:space="preserve">作者原文定位  </w:t>
            </w:r>
            <w:r>
              <w:rPr>
                <w:rFonts w:ascii="Noto Serif CJK SC" w:hAnsi="Noto Serif CJK SC" w:eastAsia="Noto Serif CJK SC"/>
                <w:color w:val="232323"/>
                <w:sz w:val="19"/>
              </w:rPr>
              <w:t>《转》L31–L42、L61–L65。</w:t>
            </w:r>
          </w:p>
        </w:tc>
      </w:tr>
    </w:tbl>
    <w:p>
      <w:pPr>
        <w:pStyle w:val="Heading2"/>
        <w:keepNext/>
        <w:keepLines/>
      </w:pPr>
      <w:r>
        <w:t>2.3 《四心法》：照片、主语与关系网</w:t>
      </w:r>
    </w:p>
    <w:p>
      <w:r>
        <w:t>“爱情照片”不是在批判爱情，而是在区分关系动作与被保存的关系表征：买花、夕阳、浪漫发生以后消失，人把瞬间拍成照片并命名为“爱情”；照片随后可能反过来规定现实必须继续符合它。第三心法进一步追问固定“我”在哪里，并把身体也理解为关系集合/关系网。</w:t>
      </w:r>
    </w:p>
    <w:tbl>
      <w:tblPr>
        <w:tblW w:type="auto" w:w="0"/>
        <w:jc w:val="center"/>
        <w:tblLook w:firstColumn="1" w:firstRow="1" w:lastColumn="0" w:lastRow="0" w:noHBand="0" w:noVBand="1" w:val="04A0"/>
      </w:tblPr>
      <w:tblGrid>
        <w:gridCol w:w="9519"/>
      </w:tblGrid>
      <w:tr>
        <w:tc>
          <w:tcPr>
            <w:tcW w:type="dxa" w:w="9519"/>
            <w:shd w:fill="F3F7FA"/>
            <w:tcMar>
              <w:top w:w="120" w:type="dxa"/>
              <w:start w:w="160" w:type="dxa"/>
              <w:bottom w:w="120" w:type="dxa"/>
              <w:end w:w="160" w:type="dxa"/>
            </w:tcMar>
          </w:tcPr>
          <w:p>
            <w:pPr>
              <w:ind w:firstLine="0"/>
            </w:pPr>
            <w:r>
              <w:rPr>
                <w:rFonts w:ascii="Noto Sans CJK SC" w:hAnsi="Noto Sans CJK SC" w:eastAsia="Noto Sans CJK SC"/>
                <w:b/>
                <w:color w:val="1F364E"/>
                <w:sz w:val="20"/>
              </w:rPr>
              <w:t xml:space="preserve">作者原文定位  </w:t>
            </w:r>
            <w:r>
              <w:rPr>
                <w:rFonts w:ascii="Noto Serif CJK SC" w:hAnsi="Noto Serif CJK SC" w:eastAsia="Noto Serif CJK SC"/>
                <w:color w:val="232323"/>
                <w:sz w:val="19"/>
              </w:rPr>
              <w:t>《四心法》L169–L182、L196–L213。</w:t>
            </w:r>
          </w:p>
        </w:tc>
      </w:tr>
    </w:tbl>
    <w:p>
      <w:pPr>
        <w:pStyle w:val="Heading2"/>
        <w:keepNext/>
        <w:keepLines/>
      </w:pPr>
      <w:r>
        <w:t>2.4 《心理学》：人是关系生成的暂时状态</w:t>
      </w:r>
    </w:p>
    <w:p>
      <w:r>
        <w:t>心理篇明确提出“人是关系生成的暂时状态”，概念先行会把人的运动规律定死。失恋案例中，病理候选不是“失恋=疾病”，而是把流动关系固定成“恋爱没有了=我完蛋”，再把自己当成主语截断流转。零修辞的目标不是取消语言，而是把名词重新还原为动词发生。</w:t>
      </w:r>
    </w:p>
    <w:tbl>
      <w:tblPr>
        <w:tblW w:type="auto" w:w="0"/>
        <w:jc w:val="center"/>
        <w:tblLook w:firstColumn="1" w:firstRow="1" w:lastColumn="0" w:lastRow="0" w:noHBand="0" w:noVBand="1" w:val="04A0"/>
      </w:tblPr>
      <w:tblGrid>
        <w:gridCol w:w="9519"/>
      </w:tblGrid>
      <w:tr>
        <w:tc>
          <w:tcPr>
            <w:tcW w:type="dxa" w:w="9519"/>
            <w:shd w:fill="F3F7FA"/>
            <w:tcMar>
              <w:top w:w="120" w:type="dxa"/>
              <w:start w:w="160" w:type="dxa"/>
              <w:bottom w:w="120" w:type="dxa"/>
              <w:end w:w="160" w:type="dxa"/>
            </w:tcMar>
          </w:tcPr>
          <w:p>
            <w:pPr>
              <w:ind w:firstLine="0"/>
            </w:pPr>
            <w:r>
              <w:rPr>
                <w:rFonts w:ascii="Noto Sans CJK SC" w:hAnsi="Noto Sans CJK SC" w:eastAsia="Noto Sans CJK SC"/>
                <w:b/>
                <w:color w:val="1F364E"/>
                <w:sz w:val="20"/>
              </w:rPr>
              <w:t xml:space="preserve">作者原文定位  </w:t>
            </w:r>
            <w:r>
              <w:rPr>
                <w:rFonts w:ascii="Noto Serif CJK SC" w:hAnsi="Noto Serif CJK SC" w:eastAsia="Noto Serif CJK SC"/>
                <w:color w:val="232323"/>
                <w:sz w:val="19"/>
              </w:rPr>
              <w:t>《心理学》L369–L395；案例三L443–L455。</w:t>
            </w:r>
          </w:p>
        </w:tc>
      </w:tr>
    </w:tbl>
    <w:p>
      <w:pPr>
        <w:pStyle w:val="Heading2"/>
        <w:keepNext/>
        <w:keepLines/>
      </w:pPr>
      <w:r>
        <w:t>2.5 《语言篇》：鸟已经飞走，解释留下照片</w:t>
      </w:r>
    </w:p>
    <w:p>
      <w:r>
        <w:t>语言篇给出两个重要入口。其一，“两个陌生人聊天不见人”时很多话说不清，熟人较容易理解，是因为已有经验片段与名词可互相识别；其二，看见鸟再解释时，鸟已经飞走，语言留下的是片段而非发生本身。这为“痕迹+再识别”提供了直接文本基础。</w:t>
      </w:r>
    </w:p>
    <w:tbl>
      <w:tblPr>
        <w:tblW w:type="auto" w:w="0"/>
        <w:jc w:val="center"/>
        <w:tblLook w:firstColumn="1" w:firstRow="1" w:lastColumn="0" w:lastRow="0" w:noHBand="0" w:noVBand="1" w:val="04A0"/>
      </w:tblPr>
      <w:tblGrid>
        <w:gridCol w:w="9519"/>
      </w:tblGrid>
      <w:tr>
        <w:tc>
          <w:tcPr>
            <w:tcW w:type="dxa" w:w="9519"/>
            <w:shd w:fill="F3F7FA"/>
            <w:tcMar>
              <w:top w:w="120" w:type="dxa"/>
              <w:start w:w="160" w:type="dxa"/>
              <w:bottom w:w="120" w:type="dxa"/>
              <w:end w:w="160" w:type="dxa"/>
            </w:tcMar>
          </w:tcPr>
          <w:p>
            <w:pPr>
              <w:ind w:firstLine="0"/>
            </w:pPr>
            <w:r>
              <w:rPr>
                <w:rFonts w:ascii="Noto Sans CJK SC" w:hAnsi="Noto Sans CJK SC" w:eastAsia="Noto Sans CJK SC"/>
                <w:b/>
                <w:color w:val="1F364E"/>
                <w:sz w:val="20"/>
              </w:rPr>
              <w:t xml:space="preserve">作者原文定位  </w:t>
            </w:r>
            <w:r>
              <w:rPr>
                <w:rFonts w:ascii="Noto Serif CJK SC" w:hAnsi="Noto Serif CJK SC" w:eastAsia="Noto Serif CJK SC"/>
                <w:color w:val="232323"/>
                <w:sz w:val="19"/>
              </w:rPr>
              <w:t>《什么是语言、文学与AI》L539–L568。</w:t>
            </w:r>
          </w:p>
        </w:tc>
      </w:tr>
    </w:tbl>
    <w:p>
      <w:pPr>
        <w:pStyle w:val="Heading2"/>
        <w:keepNext/>
        <w:keepLines/>
      </w:pPr>
      <w:r>
        <w:t>2.6 《吃饭》《时间是什么》《什么是情绪》：残影、参照与系统扰乱</w:t>
      </w:r>
    </w:p>
    <w:p>
      <w:r>
        <w:t>《吃饭》把认知比作相机：动作抓不住，留下的是脑中瞬间捕捉的残影。这里原文把这一点类比为量子“坍缩”，本报告不采纳其现代量子物理断言，只保留“发生≠残影”的心理结构。《时间是什么》进一步把过去与现在视为脑中的照片；真正产生心理摩擦的，是把过去片段当静止坐标并拿它否定当前。《什么是情绪》则明确区分“一次心痛/摩擦”与随后系统运转被扰乱形成的持续情绪。</w:t>
      </w:r>
    </w:p>
    <w:tbl>
      <w:tblPr>
        <w:tblW w:type="auto" w:w="0"/>
        <w:jc w:val="center"/>
        <w:tblLook w:firstColumn="1" w:firstRow="1" w:lastColumn="0" w:lastRow="0" w:noHBand="0" w:noVBand="1" w:val="04A0"/>
      </w:tblPr>
      <w:tblGrid>
        <w:gridCol w:w="9519"/>
      </w:tblGrid>
      <w:tr>
        <w:tc>
          <w:tcPr>
            <w:tcW w:type="dxa" w:w="9519"/>
            <w:shd w:fill="F3F7FA"/>
            <w:tcMar>
              <w:top w:w="120" w:type="dxa"/>
              <w:start w:w="160" w:type="dxa"/>
              <w:bottom w:w="120" w:type="dxa"/>
              <w:end w:w="160" w:type="dxa"/>
            </w:tcMar>
          </w:tcPr>
          <w:p>
            <w:pPr>
              <w:ind w:firstLine="0"/>
            </w:pPr>
            <w:r>
              <w:rPr>
                <w:rFonts w:ascii="Noto Sans CJK SC" w:hAnsi="Noto Sans CJK SC" w:eastAsia="Noto Sans CJK SC"/>
                <w:b/>
                <w:color w:val="1F364E"/>
                <w:sz w:val="20"/>
              </w:rPr>
              <w:t xml:space="preserve">作者原文定位  </w:t>
            </w:r>
            <w:r>
              <w:rPr>
                <w:rFonts w:ascii="Noto Serif CJK SC" w:hAnsi="Noto Serif CJK SC" w:eastAsia="Noto Serif CJK SC"/>
                <w:color w:val="232323"/>
                <w:sz w:val="19"/>
              </w:rPr>
              <w:t>《吃饭》L684–L696；《时间是什么》L739–L783；《什么是情绪》L785–L811。</w:t>
            </w:r>
          </w:p>
        </w:tc>
      </w:tr>
    </w:tbl>
    <w:tbl>
      <w:tblPr>
        <w:tblW w:type="auto" w:w="0"/>
        <w:jc w:val="center"/>
        <w:tblLook w:firstColumn="1" w:firstRow="1" w:lastColumn="0" w:lastRow="0" w:noHBand="0" w:noVBand="1" w:val="04A0"/>
      </w:tblPr>
      <w:tblGrid>
        <w:gridCol w:w="9519"/>
      </w:tblGrid>
      <w:tr>
        <w:tc>
          <w:tcPr>
            <w:tcW w:type="dxa" w:w="9519"/>
            <w:shd w:fill="F7F4F1"/>
            <w:tcMar>
              <w:top w:w="120" w:type="dxa"/>
              <w:start w:w="160" w:type="dxa"/>
              <w:bottom w:w="120" w:type="dxa"/>
              <w:end w:w="160" w:type="dxa"/>
            </w:tcMar>
          </w:tcPr>
          <w:p>
            <w:pPr>
              <w:ind w:firstLine="0"/>
            </w:pPr>
            <w:r>
              <w:rPr>
                <w:rFonts w:ascii="Noto Sans CJK SC" w:hAnsi="Noto Sans CJK SC" w:eastAsia="Noto Sans CJK SC"/>
                <w:b/>
                <w:color w:val="912D2D"/>
                <w:sz w:val="20"/>
              </w:rPr>
              <w:t xml:space="preserve">资料边界  </w:t>
            </w:r>
            <w:r>
              <w:rPr>
                <w:rFonts w:ascii="Noto Serif CJK SC" w:hAnsi="Noto Serif CJK SC" w:eastAsia="Noto Serif CJK SC"/>
                <w:color w:val="232323"/>
                <w:sz w:val="19"/>
              </w:rPr>
              <w:t>《人类最根本的问题》的完整逐段原文目前没有在本轮归档中恢复；本报告仅使用研究合集保存的核心追问：“过去是不是我？现在能不能被抓住？身体某个部分是不是我？”以及“你不是一个实在的物体。你就是发生本身。”因此不重构缺失段落。</w:t>
            </w:r>
          </w:p>
        </w:tc>
      </w:tr>
    </w:tbl>
    <w:p>
      <w:pPr>
        <w:pStyle w:val="Heading1"/>
        <w:keepNext/>
        <w:keepLines/>
      </w:pPr>
      <w:r>
        <w:t>3. 从系统论到系统发生论：相续与新生</w:t>
      </w:r>
    </w:p>
    <w:p>
      <w:r>
        <w:t>第二份心理学研究报告已经完成一个根本翻转：不是先有一个固定生命系统，再由系统去活动；恰恰是发生不断显出暂时系统。系统不是本体，而是发生中的关系状态。病理也不必表现为“系统弱”，一个病理系统完全可能内部活动极强，只是大量活动都在维护同一个闭环。</w:t>
      </w:r>
    </w:p>
    <w:tbl>
      <w:tblPr>
        <w:tblW w:type="auto" w:w="0"/>
        <w:jc w:val="center"/>
        <w:tblLook w:firstColumn="1" w:firstRow="1" w:lastColumn="0" w:lastRow="0" w:noHBand="0" w:noVBand="1" w:val="04A0"/>
      </w:tblPr>
      <w:tblGrid>
        <w:gridCol w:w="9519"/>
      </w:tblGrid>
      <w:tr>
        <w:tc>
          <w:tcPr>
            <w:tcW w:type="dxa" w:w="9519"/>
            <w:shd w:fill="F3F7FA"/>
            <w:tcMar>
              <w:top w:w="120" w:type="dxa"/>
              <w:start w:w="160" w:type="dxa"/>
              <w:bottom w:w="120" w:type="dxa"/>
              <w:end w:w="160" w:type="dxa"/>
            </w:tcMar>
          </w:tcPr>
          <w:p>
            <w:pPr>
              <w:ind w:firstLine="0"/>
            </w:pPr>
            <w:r>
              <w:rPr>
                <w:rFonts w:ascii="Noto Sans CJK SC" w:hAnsi="Noto Sans CJK SC" w:eastAsia="Noto Sans CJK SC"/>
                <w:b/>
                <w:color w:val="1F364E"/>
                <w:sz w:val="20"/>
              </w:rPr>
              <w:t xml:space="preserve">第二份报告定位  </w:t>
            </w:r>
            <w:r>
              <w:rPr>
                <w:rFonts w:ascii="Noto Serif CJK SC" w:hAnsi="Noto Serif CJK SC" w:eastAsia="Noto Serif CJK SC"/>
                <w:color w:val="232323"/>
                <w:sz w:val="19"/>
              </w:rPr>
              <w:t>《系统发生论与抑郁》第二份，第2–3、8–12、25–28页。</w:t>
            </w:r>
          </w:p>
        </w:tc>
      </w:tr>
    </w:tbl>
    <w:p>
      <w:pPr>
        <w:pStyle w:val="Heading2"/>
        <w:keepNext/>
        <w:keepLines/>
      </w:pPr>
      <w:r>
        <w:t>3.1 相续与新生的最小动力学</w:t>
      </w:r>
    </w:p>
    <w:p>
      <w:pPr>
        <w:pStyle w:val="Equation"/>
      </w:pPr>
      <w:r>
        <w:rPr>
          <w:rFonts w:ascii="FreeSerif" w:hAnsi="FreeSerif" w:eastAsia="FreeSerif"/>
          <w:color w:val="232323"/>
          <w:sz w:val="21"/>
        </w:rPr>
        <w:t>xₙ₊₁ = Fₙ(xₙ, eₙ)</w:t>
      </w:r>
    </w:p>
    <w:p>
      <w:r>
        <w:t>其中 xₙ 不是永恒固定的人，而是第 n 轮发生显出的当前关系状态；eₙ 是新的现实关系输入。局部线性化：</w:t>
      </w:r>
    </w:p>
    <w:p>
      <w:pPr>
        <w:pStyle w:val="Equation"/>
      </w:pPr>
      <w:r>
        <w:rPr>
          <w:rFonts w:ascii="FreeSerif" w:hAnsi="FreeSerif" w:eastAsia="FreeSerif"/>
          <w:color w:val="232323"/>
          <w:sz w:val="21"/>
        </w:rPr>
        <w:t>δxₙ₊₁ = Aₙ δxₙ + Bₙ δeₙ</w:t>
      </w:r>
    </w:p>
    <w:p>
      <w:r>
        <w:t>Aₙ 描述上一轮关系如何进入下一轮；Bₙ 描述新的现实如何真正改变下一轮。如果 Aₙ=0，下一轮与上一轮完全无关，无法形成“同一生命史”的相续；如果 Bₙ=0，新现实无论怎样都不能生成新方向，系统只剩自我复制。</w:t>
      </w:r>
    </w:p>
    <w:p>
      <w:pPr>
        <w:pStyle w:val="Equation"/>
      </w:pPr>
      <w:r>
        <w:rPr>
          <w:rFonts w:ascii="FreeSerif" w:hAnsi="FreeSerif" w:eastAsia="FreeSerif"/>
          <w:color w:val="232323"/>
          <w:sz w:val="21"/>
        </w:rPr>
        <w:t>健康候选：Aₙ ≠ 0 且 Bₙ ≠ 0</w:t>
      </w:r>
    </w:p>
    <w:tbl>
      <w:tblPr>
        <w:tblW w:type="auto" w:w="0"/>
        <w:jc w:val="center"/>
        <w:tblLook w:firstColumn="1" w:firstRow="1" w:lastColumn="0" w:lastRow="0" w:noHBand="0" w:noVBand="1" w:val="04A0"/>
      </w:tblPr>
      <w:tblGrid>
        <w:gridCol w:w="9519"/>
      </w:tblGrid>
      <w:tr>
        <w:tc>
          <w:tcPr>
            <w:tcW w:type="dxa" w:w="9519"/>
            <w:shd w:fill="F3F7FA"/>
            <w:tcMar>
              <w:top w:w="120" w:type="dxa"/>
              <w:start w:w="160" w:type="dxa"/>
              <w:bottom w:w="120" w:type="dxa"/>
              <w:end w:w="160" w:type="dxa"/>
            </w:tcMar>
          </w:tcPr>
          <w:p>
            <w:pPr>
              <w:ind w:firstLine="0"/>
            </w:pPr>
            <w:r>
              <w:rPr>
                <w:rFonts w:ascii="Noto Sans CJK SC" w:hAnsi="Noto Sans CJK SC" w:eastAsia="Noto Sans CJK SC"/>
                <w:b/>
                <w:color w:val="1F364E"/>
                <w:sz w:val="20"/>
              </w:rPr>
              <w:t xml:space="preserve">冻结表达  </w:t>
            </w:r>
            <w:r>
              <w:rPr>
                <w:rFonts w:ascii="Noto Serif CJK SC" w:hAnsi="Noto Serif CJK SC" w:eastAsia="Noto Serif CJK SC"/>
                <w:color w:val="232323"/>
                <w:sz w:val="19"/>
              </w:rPr>
              <w:t>有痕不住，相续能生。痕迹必须进入下一轮，否则没有连续；痕迹不能吞掉新生，否则没有生成。</w:t>
            </w:r>
          </w:p>
        </w:tc>
      </w:tr>
    </w:tbl>
    <w:p>
      <w:pPr>
        <w:pStyle w:val="Heading2"/>
        <w:keepNext/>
        <w:keepLines/>
      </w:pPr>
      <w:r>
        <w:t>3.2 当前关系本身就是压缩后的历史</w:t>
      </w:r>
    </w:p>
    <w:p>
      <w:pPr>
        <w:pStyle w:val="Equation"/>
      </w:pPr>
      <w:r>
        <w:rPr>
          <w:rFonts w:ascii="FreeSerif" w:hAnsi="FreeSerif" w:eastAsia="FreeSerif"/>
          <w:color w:val="232323"/>
          <w:sz w:val="21"/>
        </w:rPr>
        <w:t>xₙ = Aₙ₋₁…A₀x₀ + Σₖ Aₙ₋₁…Aₖ₊₁ Bₖeₖ</w:t>
      </w:r>
    </w:p>
    <w:p>
      <w:r>
        <w:t>这说明“过去”不必被想象成旁边另有一个记忆仓库；能存活下来的历史作用已经进入当前关系结构。记忆与执着由此严格分开：A≠0 是相续所需；病理候选是继承部分开始否决 B 所代表的新生。</w:t>
      </w:r>
    </w:p>
    <w:p>
      <w:pPr>
        <w:pStyle w:val="Heading1"/>
        <w:keepNext/>
        <w:keepLines/>
      </w:pPr>
      <w:r>
        <w:t>4. 最终母模型：关系约束本体化</w:t>
      </w:r>
    </w:p>
    <w:p>
      <w:r>
        <w:t>研究早期把“固定自我”看作最典型入口。年龄、跨文化与公开反例迫使模型进一步一般化：有些人没有明显“我是失败者”语言，仍可出现威胁泛化、创伤警报、强迫规则或生理调节引起的广泛闭合。因此最终病理对象不能只写成“自我本体化”，而应写成“关系约束本体化”。</w:t>
      </w:r>
    </w:p>
    <w:p>
      <w:pPr>
        <w:pStyle w:val="Equation"/>
      </w:pPr>
      <w:r>
        <w:rPr>
          <w:rFonts w:ascii="FreeSerif" w:hAnsi="FreeSerif" w:eastAsia="FreeSerif"/>
          <w:color w:val="232323"/>
          <w:sz w:val="21"/>
        </w:rPr>
        <w:t>Λₜ = 某个临时关系模式取得对后续发生的固定控制权</w:t>
      </w:r>
    </w:p>
    <w:p>
      <w:r>
        <w:t>Λ 可以来自自我身份（Λ_self）、威胁模型（Λ_threat）、创伤关系（Λ_trauma）、规则/强迫结构（Λ_rule）、关系照片（Λ_relationship）、病名与恢复指标等。真正共同的是：它们本来只是一次发生形成的局部关系，后来被当成不能被现实改写的规则。</w:t>
      </w:r>
    </w:p>
    <w:tbl>
      <w:tblPr>
        <w:tblStyle w:val="TableGrid"/>
        <w:tblW w:type="auto" w:w="0"/>
        <w:jc w:val="center"/>
        <w:tblLook w:firstColumn="1" w:firstRow="1" w:lastColumn="0" w:lastRow="0" w:noHBand="0" w:noVBand="1" w:val="04A0"/>
      </w:tblPr>
      <w:tblGrid>
        <w:gridCol w:w="3173"/>
        <w:gridCol w:w="3173"/>
        <w:gridCol w:w="3173"/>
      </w:tblGrid>
      <w:tr>
        <w:tc>
          <w:tcPr>
            <w:tcW w:type="dxa" w:w="3173"/>
            <w:shd w:fill="EAF0F5"/>
            <w:vAlign w:val="center"/>
            <w:tcMar>
              <w:top w:w="80" w:type="dxa"/>
              <w:start w:w="100" w:type="dxa"/>
              <w:bottom w:w="80" w:type="dxa"/>
              <w:end w:w="100" w:type="dxa"/>
            </w:tcMar>
          </w:tcPr>
          <w:p>
            <w:pPr>
              <w:jc w:val="center"/>
            </w:pPr>
            <w:r>
              <w:rPr>
                <w:rFonts w:ascii="Noto Sans CJK SC" w:hAnsi="Noto Sans CJK SC" w:eastAsia="Noto Sans CJK SC"/>
                <w:b/>
                <w:color w:val="1F364E"/>
                <w:sz w:val="17"/>
              </w:rPr>
              <w:t>旧版本</w:t>
            </w:r>
          </w:p>
        </w:tc>
        <w:tc>
          <w:tcPr>
            <w:tcW w:type="dxa" w:w="3173"/>
            <w:shd w:fill="EAF0F5"/>
            <w:vAlign w:val="center"/>
            <w:tcMar>
              <w:top w:w="80" w:type="dxa"/>
              <w:start w:w="100" w:type="dxa"/>
              <w:bottom w:w="80" w:type="dxa"/>
              <w:end w:w="100" w:type="dxa"/>
            </w:tcMar>
          </w:tcPr>
          <w:p>
            <w:pPr>
              <w:jc w:val="center"/>
            </w:pPr>
            <w:r>
              <w:rPr>
                <w:rFonts w:ascii="Noto Sans CJK SC" w:hAnsi="Noto Sans CJK SC" w:eastAsia="Noto Sans CJK SC"/>
                <w:b/>
                <w:color w:val="1F364E"/>
                <w:sz w:val="17"/>
              </w:rPr>
              <w:t>问题</w:t>
            </w:r>
          </w:p>
        </w:tc>
        <w:tc>
          <w:tcPr>
            <w:tcW w:type="dxa" w:w="3173"/>
            <w:shd w:fill="EAF0F5"/>
            <w:vAlign w:val="center"/>
            <w:tcMar>
              <w:top w:w="80" w:type="dxa"/>
              <w:start w:w="100" w:type="dxa"/>
              <w:bottom w:w="80" w:type="dxa"/>
              <w:end w:w="100" w:type="dxa"/>
            </w:tcMar>
          </w:tcPr>
          <w:p>
            <w:pPr>
              <w:jc w:val="center"/>
            </w:pPr>
            <w:r>
              <w:rPr>
                <w:rFonts w:ascii="Noto Sans CJK SC" w:hAnsi="Noto Sans CJK SC" w:eastAsia="Noto Sans CJK SC"/>
                <w:b/>
                <w:color w:val="1F364E"/>
                <w:sz w:val="17"/>
              </w:rPr>
              <w:t>最终修正</w:t>
            </w:r>
          </w:p>
        </w:tc>
      </w:tr>
      <w:tr>
        <w:tc>
          <w:tcPr>
            <w:tcW w:type="dxa" w:w="3173"/>
            <w:vAlign w:val="center"/>
            <w:tcMar>
              <w:top w:w="80" w:type="dxa"/>
              <w:start w:w="100" w:type="dxa"/>
              <w:bottom w:w="80" w:type="dxa"/>
              <w:end w:w="100" w:type="dxa"/>
            </w:tcMar>
          </w:tcPr>
          <w:p>
            <w:pPr>
              <w:ind w:firstLine="0"/>
            </w:pPr>
            <w:r>
              <w:rPr>
                <w:rFonts w:ascii="Noto Serif CJK SC" w:hAnsi="Noto Serif CJK SC" w:eastAsia="Noto Serif CJK SC"/>
                <w:color w:val="232323"/>
                <w:sz w:val="17"/>
              </w:rPr>
              <w:t>“固定我导致痛苦”</w:t>
            </w:r>
          </w:p>
        </w:tc>
        <w:tc>
          <w:tcPr>
            <w:tcW w:type="dxa" w:w="3173"/>
            <w:vAlign w:val="center"/>
            <w:tcMar>
              <w:top w:w="80" w:type="dxa"/>
              <w:start w:w="100" w:type="dxa"/>
              <w:bottom w:w="80" w:type="dxa"/>
              <w:end w:w="100" w:type="dxa"/>
            </w:tcMar>
          </w:tcPr>
          <w:p>
            <w:pPr>
              <w:ind w:firstLine="0"/>
            </w:pPr>
            <w:r>
              <w:rPr>
                <w:rFonts w:ascii="Noto Serif CJK SC" w:hAnsi="Noto Serif CJK SC" w:eastAsia="Noto Serif CJK SC"/>
                <w:color w:val="232323"/>
                <w:sz w:val="17"/>
              </w:rPr>
              <w:t>无法解释无明显身份语言的焦虑/威胁泛化；也会误伤健康自我稳定</w:t>
            </w:r>
          </w:p>
        </w:tc>
        <w:tc>
          <w:tcPr>
            <w:tcW w:type="dxa" w:w="3173"/>
            <w:vAlign w:val="center"/>
            <w:tcMar>
              <w:top w:w="80" w:type="dxa"/>
              <w:start w:w="100" w:type="dxa"/>
              <w:bottom w:w="80" w:type="dxa"/>
              <w:end w:w="100" w:type="dxa"/>
            </w:tcMar>
          </w:tcPr>
          <w:p>
            <w:pPr>
              <w:ind w:firstLine="0"/>
            </w:pPr>
            <w:r>
              <w:rPr>
                <w:rFonts w:ascii="Noto Serif CJK SC" w:hAnsi="Noto Serif CJK SC" w:eastAsia="Noto Serif CJK SC"/>
                <w:color w:val="232323"/>
                <w:sz w:val="17"/>
              </w:rPr>
              <w:t>固定我只是高约束的一种入口</w:t>
            </w:r>
          </w:p>
        </w:tc>
      </w:tr>
      <w:tr>
        <w:tc>
          <w:tcPr>
            <w:tcW w:type="dxa" w:w="3173"/>
            <w:vAlign w:val="center"/>
            <w:tcMar>
              <w:top w:w="80" w:type="dxa"/>
              <w:start w:w="100" w:type="dxa"/>
              <w:bottom w:w="80" w:type="dxa"/>
              <w:end w:w="100" w:type="dxa"/>
            </w:tcMar>
          </w:tcPr>
          <w:p>
            <w:pPr>
              <w:ind w:firstLine="0"/>
            </w:pPr>
            <w:r>
              <w:rPr>
                <w:rFonts w:ascii="Noto Serif CJK SC" w:hAnsi="Noto Serif CJK SC" w:eastAsia="Noto Serif CJK SC"/>
                <w:color w:val="232323"/>
                <w:sz w:val="17"/>
              </w:rPr>
              <w:t>“定义导致痛苦”</w:t>
            </w:r>
          </w:p>
        </w:tc>
        <w:tc>
          <w:tcPr>
            <w:tcW w:type="dxa" w:w="3173"/>
            <w:vAlign w:val="center"/>
            <w:tcMar>
              <w:top w:w="80" w:type="dxa"/>
              <w:start w:w="100" w:type="dxa"/>
              <w:bottom w:w="80" w:type="dxa"/>
              <w:end w:w="100" w:type="dxa"/>
            </w:tcMar>
          </w:tcPr>
          <w:p>
            <w:pPr>
              <w:ind w:firstLine="0"/>
            </w:pPr>
            <w:r>
              <w:rPr>
                <w:rFonts w:ascii="Noto Serif CJK SC" w:hAnsi="Noto Serif CJK SC" w:eastAsia="Noto Serif CJK SC"/>
                <w:color w:val="232323"/>
                <w:sz w:val="17"/>
              </w:rPr>
              <w:t>命名、诊断、身份也有巨大功能</w:t>
            </w:r>
          </w:p>
        </w:tc>
        <w:tc>
          <w:tcPr>
            <w:tcW w:type="dxa" w:w="3173"/>
            <w:vAlign w:val="center"/>
            <w:tcMar>
              <w:top w:w="80" w:type="dxa"/>
              <w:start w:w="100" w:type="dxa"/>
              <w:bottom w:w="80" w:type="dxa"/>
              <w:end w:w="100" w:type="dxa"/>
            </w:tcMar>
          </w:tcPr>
          <w:p>
            <w:pPr>
              <w:ind w:firstLine="0"/>
            </w:pPr>
            <w:r>
              <w:rPr>
                <w:rFonts w:ascii="Noto Serif CJK SC" w:hAnsi="Noto Serif CJK SC" w:eastAsia="Noto Serif CJK SC"/>
                <w:color w:val="232323"/>
                <w:sz w:val="17"/>
              </w:rPr>
              <w:t>问题是定义取得本体地位与规范权</w:t>
            </w:r>
          </w:p>
        </w:tc>
      </w:tr>
      <w:tr>
        <w:tc>
          <w:tcPr>
            <w:tcW w:type="dxa" w:w="3173"/>
            <w:vAlign w:val="center"/>
            <w:tcMar>
              <w:top w:w="80" w:type="dxa"/>
              <w:start w:w="100" w:type="dxa"/>
              <w:bottom w:w="80" w:type="dxa"/>
              <w:end w:w="100" w:type="dxa"/>
            </w:tcMar>
          </w:tcPr>
          <w:p>
            <w:pPr>
              <w:ind w:firstLine="0"/>
            </w:pPr>
            <w:r>
              <w:rPr>
                <w:rFonts w:ascii="Noto Serif CJK SC" w:hAnsi="Noto Serif CJK SC" w:eastAsia="Noto Serif CJK SC"/>
                <w:color w:val="232323"/>
                <w:sz w:val="17"/>
              </w:rPr>
              <w:t>“越灵活越健康”</w:t>
            </w:r>
          </w:p>
        </w:tc>
        <w:tc>
          <w:tcPr>
            <w:tcW w:type="dxa" w:w="3173"/>
            <w:vAlign w:val="center"/>
            <w:tcMar>
              <w:top w:w="80" w:type="dxa"/>
              <w:start w:w="100" w:type="dxa"/>
              <w:bottom w:w="80" w:type="dxa"/>
              <w:end w:w="100" w:type="dxa"/>
            </w:tcMar>
          </w:tcPr>
          <w:p>
            <w:pPr>
              <w:ind w:firstLine="0"/>
            </w:pPr>
            <w:r>
              <w:rPr>
                <w:rFonts w:ascii="Noto Serif CJK SC" w:hAnsi="Noto Serif CJK SC" w:eastAsia="Noto Serif CJK SC"/>
                <w:color w:val="232323"/>
                <w:sz w:val="17"/>
              </w:rPr>
              <w:t>年龄研究显示较少策略变化也可更好</w:t>
            </w:r>
          </w:p>
        </w:tc>
        <w:tc>
          <w:tcPr>
            <w:tcW w:type="dxa" w:w="3173"/>
            <w:vAlign w:val="center"/>
            <w:tcMar>
              <w:top w:w="80" w:type="dxa"/>
              <w:start w:w="100" w:type="dxa"/>
              <w:bottom w:w="80" w:type="dxa"/>
              <w:end w:w="100" w:type="dxa"/>
            </w:tcMar>
          </w:tcPr>
          <w:p>
            <w:pPr>
              <w:ind w:firstLine="0"/>
            </w:pPr>
            <w:r>
              <w:rPr>
                <w:rFonts w:ascii="Noto Serif CJK SC" w:hAnsi="Noto Serif CJK SC" w:eastAsia="Noto Serif CJK SC"/>
                <w:color w:val="232323"/>
                <w:sz w:val="17"/>
              </w:rPr>
              <w:t>健康是情境敏感的可改写性，不是变化数量</w:t>
            </w:r>
          </w:p>
        </w:tc>
      </w:tr>
      <w:tr>
        <w:tc>
          <w:tcPr>
            <w:tcW w:type="dxa" w:w="3173"/>
            <w:vAlign w:val="center"/>
            <w:tcMar>
              <w:top w:w="80" w:type="dxa"/>
              <w:start w:w="100" w:type="dxa"/>
              <w:bottom w:w="80" w:type="dxa"/>
              <w:end w:w="100" w:type="dxa"/>
            </w:tcMar>
          </w:tcPr>
          <w:p>
            <w:pPr>
              <w:ind w:firstLine="0"/>
            </w:pPr>
            <w:r>
              <w:rPr>
                <w:rFonts w:ascii="Noto Serif CJK SC" w:hAnsi="Noto Serif CJK SC" w:eastAsia="Noto Serif CJK SC"/>
                <w:color w:val="232323"/>
                <w:sz w:val="17"/>
              </w:rPr>
              <w:t>“记忆越多越病”</w:t>
            </w:r>
          </w:p>
        </w:tc>
        <w:tc>
          <w:tcPr>
            <w:tcW w:type="dxa" w:w="3173"/>
            <w:vAlign w:val="center"/>
            <w:tcMar>
              <w:top w:w="80" w:type="dxa"/>
              <w:start w:w="100" w:type="dxa"/>
              <w:bottom w:w="80" w:type="dxa"/>
              <w:end w:w="100" w:type="dxa"/>
            </w:tcMar>
          </w:tcPr>
          <w:p>
            <w:pPr>
              <w:ind w:firstLine="0"/>
            </w:pPr>
            <w:r>
              <w:rPr>
                <w:rFonts w:ascii="Noto Serif CJK SC" w:hAnsi="Noto Serif CJK SC" w:eastAsia="Noto Serif CJK SC"/>
                <w:color w:val="232323"/>
                <w:sz w:val="17"/>
              </w:rPr>
              <w:t>老年并未因经验更多而必然更差</w:t>
            </w:r>
          </w:p>
        </w:tc>
        <w:tc>
          <w:tcPr>
            <w:tcW w:type="dxa" w:w="3173"/>
            <w:vAlign w:val="center"/>
            <w:tcMar>
              <w:top w:w="80" w:type="dxa"/>
              <w:start w:w="100" w:type="dxa"/>
              <w:bottom w:w="80" w:type="dxa"/>
              <w:end w:w="100" w:type="dxa"/>
            </w:tcMar>
          </w:tcPr>
          <w:p>
            <w:pPr>
              <w:ind w:firstLine="0"/>
            </w:pPr>
            <w:r>
              <w:rPr>
                <w:rFonts w:ascii="Noto Serif CJK SC" w:hAnsi="Noto Serif CJK SC" w:eastAsia="Noto Serif CJK SC"/>
                <w:color w:val="232323"/>
                <w:sz w:val="17"/>
              </w:rPr>
              <w:t>记忆/痕迹与执着必须分开</w:t>
            </w:r>
          </w:p>
        </w:tc>
      </w:tr>
    </w:tbl>
    <w:p>
      <w:pPr>
        <w:pStyle w:val="Heading1"/>
        <w:keepNext/>
        <w:keepLines/>
      </w:pPr>
      <w:r>
        <w:t>5. 自我、心理时间、痛苦、情绪与累的严格拆分</w:t>
      </w:r>
    </w:p>
    <w:p>
      <w:pPr>
        <w:pStyle w:val="Heading2"/>
        <w:keepNext/>
        <w:keepLines/>
      </w:pPr>
      <w:r>
        <w:t>5.1 自我：当前关系生成的临时组织模式</w:t>
      </w:r>
    </w:p>
    <w:p>
      <w:r>
        <w:t>自我不是一个固定节点，也不是疾病变量；它可以被理解为在当前历史条件下跨多轮仍被持续承接的慢关系模式。稳定自我可以是健康资源，关键在于它是否仍允许可靠现实改变关系结构。</w:t>
      </w:r>
    </w:p>
    <w:p>
      <w:pPr>
        <w:pStyle w:val="Heading2"/>
        <w:keepNext/>
        <w:keepLines/>
      </w:pPr>
      <w:r>
        <w:t>5.2 心理时间：痕迹与当前发生的比较结构</w:t>
      </w:r>
    </w:p>
    <w:p>
      <w:r>
        <w:t>本报告不使用“时间不存在”去否定物理时间。心理层更严谨的命题是：不存在一个脱离关系独立自存的“过去—现在—未来”实体；心理时间结构由保留痕迹、当前发生、同一主体再识别与比较共同显现。</w:t>
      </w:r>
    </w:p>
    <w:p>
      <w:pPr>
        <w:pStyle w:val="Equation"/>
      </w:pPr>
      <w:r>
        <w:rPr>
          <w:rFonts w:ascii="FreeSerif" w:hAnsi="FreeSerif" w:eastAsia="FreeSerif"/>
          <w:color w:val="232323"/>
          <w:sz w:val="21"/>
        </w:rPr>
        <w:t>D²ₐ,꜀ = (x − r)ᵀ Wₐ,꜀ (x − r)</w:t>
      </w:r>
    </w:p>
    <w:p>
      <w:r>
        <w:t>r 是被保留的参照痕迹；x 是当前发生；Wₐ,꜀ 是随年龄阶段 a、文化/社会关系场 c 改变的权重矩阵。同一个事实在不同年龄、角色、文化中可具有完全不同的心理距离。</w:t>
      </w:r>
    </w:p>
    <w:p>
      <w:pPr>
        <w:pStyle w:val="Heading2"/>
        <w:keepNext/>
        <w:keepLines/>
      </w:pPr>
      <w:r>
        <w:t>5.3 痛苦：差值本身不是痛苦，抵抗才让差值获得摩擦</w:t>
      </w:r>
    </w:p>
    <w:p>
      <w:pPr>
        <w:pStyle w:val="Equation"/>
      </w:pPr>
      <w:r>
        <w:rPr>
          <w:rFonts w:ascii="FreeSerif" w:hAnsi="FreeSerif" w:eastAsia="FreeSerif"/>
          <w:color w:val="232323"/>
          <w:sz w:val="21"/>
        </w:rPr>
        <w:t>Pₐ,꜀ = Λ · √[(x − r)ᵀ Wₐ,꜀ (x − r)]</w:t>
      </w:r>
    </w:p>
    <w:p>
      <w:r>
        <w:t>因此巨大变化 D 可以在 Λ 很低时不产生同等强度痛苦；相反，现实差异不大但 Λ 很高，也可以出现明显冲突。该式是候选模型，不是已经校准的临床量表。</w:t>
      </w:r>
    </w:p>
    <w:p>
      <w:pPr>
        <w:pStyle w:val="Heading2"/>
        <w:keepNext/>
        <w:keepLines/>
      </w:pPr>
      <w:r>
        <w:t>5.4 情绪：一次摩擦之后的系统传播与惯性</w:t>
      </w:r>
    </w:p>
    <w:p>
      <w:pPr>
        <w:pStyle w:val="Equation"/>
      </w:pPr>
      <w:r>
        <w:rPr>
          <w:rFonts w:ascii="FreeSerif" w:hAnsi="FreeSerif" w:eastAsia="FreeSerif"/>
          <w:color w:val="232323"/>
          <w:sz w:val="21"/>
        </w:rPr>
        <w:t>Eₜ₊₁ = aEₜ + bPₜ，0 ≤ a &lt; 1</w:t>
      </w:r>
    </w:p>
    <w:p>
      <w:r>
        <w:t>这与原文“一次心痛”和后续“规律紊乱”的区分一致。P 可以已经归零，E 仍因惯性持续；现代EMA关于当前/缓解期抑郁的情绪惯性为这一分层提供独立接口 [R5][R10]。</w:t>
      </w:r>
    </w:p>
    <w:p>
      <w:pPr>
        <w:pStyle w:val="Heading2"/>
        <w:keepNext/>
        <w:keepLines/>
      </w:pPr>
      <w:r>
        <w:t>5.5 累：长期维护固定约束的积分成本</w:t>
      </w:r>
    </w:p>
    <w:p>
      <w:pPr>
        <w:pStyle w:val="Equation"/>
      </w:pPr>
      <w:r>
        <w:rPr>
          <w:rFonts w:ascii="FreeSerif" w:hAnsi="FreeSerif" w:eastAsia="FreeSerif"/>
          <w:color w:val="232323"/>
          <w:sz w:val="21"/>
        </w:rPr>
        <w:t>F_T = ∑ₜ ||u_control(t)||² ≈ ∑ₜ Λₜ² Dₜ²</w:t>
      </w:r>
    </w:p>
    <w:p>
      <w:r>
        <w:t>“累”在此不是所有疲劳的统一病因。生物、睡眠、炎症、疼痛等均可直接造成疲劳。发生论只提出一个心理控制成本通道：现实持续偏离而系统又持续把它拉回固定参照时，控制努力会累积。现代持续认知—HRV与认知疲劳研究支持“持续控制有成本”，但并未证明该成本全部来自关系约束维护 [R11][R12]。</w:t>
      </w:r>
    </w:p>
    <w:tbl>
      <w:tblPr>
        <w:tblStyle w:val="TableGrid"/>
        <w:tblW w:type="auto" w:w="0"/>
        <w:jc w:val="center"/>
        <w:tblLook w:firstColumn="1" w:firstRow="1" w:lastColumn="0" w:lastRow="0" w:noHBand="0" w:noVBand="1" w:val="04A0"/>
      </w:tblPr>
      <w:tblGrid>
        <w:gridCol w:w="3173"/>
        <w:gridCol w:w="3173"/>
        <w:gridCol w:w="3173"/>
      </w:tblGrid>
      <w:tr>
        <w:tc>
          <w:tcPr>
            <w:tcW w:type="dxa" w:w="3173"/>
            <w:shd w:fill="EAF0F5"/>
            <w:vAlign w:val="center"/>
            <w:tcMar>
              <w:top w:w="80" w:type="dxa"/>
              <w:start w:w="100" w:type="dxa"/>
              <w:bottom w:w="80" w:type="dxa"/>
              <w:end w:w="100" w:type="dxa"/>
            </w:tcMar>
          </w:tcPr>
          <w:p>
            <w:pPr>
              <w:jc w:val="center"/>
            </w:pPr>
            <w:r>
              <w:rPr>
                <w:rFonts w:ascii="Noto Sans CJK SC" w:hAnsi="Noto Sans CJK SC" w:eastAsia="Noto Sans CJK SC"/>
                <w:b/>
                <w:color w:val="1F364E"/>
                <w:sz w:val="17"/>
              </w:rPr>
              <w:t>量</w:t>
            </w:r>
          </w:p>
        </w:tc>
        <w:tc>
          <w:tcPr>
            <w:tcW w:type="dxa" w:w="3173"/>
            <w:shd w:fill="EAF0F5"/>
            <w:vAlign w:val="center"/>
            <w:tcMar>
              <w:top w:w="80" w:type="dxa"/>
              <w:start w:w="100" w:type="dxa"/>
              <w:bottom w:w="80" w:type="dxa"/>
              <w:end w:w="100" w:type="dxa"/>
            </w:tcMar>
          </w:tcPr>
          <w:p>
            <w:pPr>
              <w:jc w:val="center"/>
            </w:pPr>
            <w:r>
              <w:rPr>
                <w:rFonts w:ascii="Noto Sans CJK SC" w:hAnsi="Noto Sans CJK SC" w:eastAsia="Noto Sans CJK SC"/>
                <w:b/>
                <w:color w:val="1F364E"/>
                <w:sz w:val="17"/>
              </w:rPr>
              <w:t>核心问题</w:t>
            </w:r>
          </w:p>
        </w:tc>
        <w:tc>
          <w:tcPr>
            <w:tcW w:type="dxa" w:w="3173"/>
            <w:shd w:fill="EAF0F5"/>
            <w:vAlign w:val="center"/>
            <w:tcMar>
              <w:top w:w="80" w:type="dxa"/>
              <w:start w:w="100" w:type="dxa"/>
              <w:bottom w:w="80" w:type="dxa"/>
              <w:end w:w="100" w:type="dxa"/>
            </w:tcMar>
          </w:tcPr>
          <w:p>
            <w:pPr>
              <w:jc w:val="center"/>
            </w:pPr>
            <w:r>
              <w:rPr>
                <w:rFonts w:ascii="Noto Sans CJK SC" w:hAnsi="Noto Sans CJK SC" w:eastAsia="Noto Sans CJK SC"/>
                <w:b/>
                <w:color w:val="1F364E"/>
                <w:sz w:val="17"/>
              </w:rPr>
              <w:t>可与其他量分离的例子</w:t>
            </w:r>
          </w:p>
        </w:tc>
      </w:tr>
      <w:tr>
        <w:tc>
          <w:tcPr>
            <w:tcW w:type="dxa" w:w="3173"/>
            <w:vAlign w:val="center"/>
            <w:tcMar>
              <w:top w:w="80" w:type="dxa"/>
              <w:start w:w="100" w:type="dxa"/>
              <w:bottom w:w="80" w:type="dxa"/>
              <w:end w:w="100" w:type="dxa"/>
            </w:tcMar>
          </w:tcPr>
          <w:p>
            <w:pPr>
              <w:ind w:firstLine="0"/>
            </w:pPr>
            <w:r>
              <w:rPr>
                <w:rFonts w:ascii="Noto Serif CJK SC" w:hAnsi="Noto Serif CJK SC" w:eastAsia="Noto Serif CJK SC"/>
                <w:color w:val="232323"/>
                <w:sz w:val="17"/>
              </w:rPr>
              <w:t>自我/关系模式</w:t>
            </w:r>
          </w:p>
        </w:tc>
        <w:tc>
          <w:tcPr>
            <w:tcW w:type="dxa" w:w="3173"/>
            <w:vAlign w:val="center"/>
            <w:tcMar>
              <w:top w:w="80" w:type="dxa"/>
              <w:start w:w="100" w:type="dxa"/>
              <w:bottom w:w="80" w:type="dxa"/>
              <w:end w:w="100" w:type="dxa"/>
            </w:tcMar>
          </w:tcPr>
          <w:p>
            <w:pPr>
              <w:ind w:firstLine="0"/>
            </w:pPr>
            <w:r>
              <w:rPr>
                <w:rFonts w:ascii="Noto Serif CJK SC" w:hAnsi="Noto Serif CJK SC" w:eastAsia="Noto Serif CJK SC"/>
                <w:color w:val="232323"/>
                <w:sz w:val="17"/>
              </w:rPr>
              <w:t>当前哪些关系被持续承接？</w:t>
            </w:r>
          </w:p>
        </w:tc>
        <w:tc>
          <w:tcPr>
            <w:tcW w:type="dxa" w:w="3173"/>
            <w:vAlign w:val="center"/>
            <w:tcMar>
              <w:top w:w="80" w:type="dxa"/>
              <w:start w:w="100" w:type="dxa"/>
              <w:bottom w:w="80" w:type="dxa"/>
              <w:end w:w="100" w:type="dxa"/>
            </w:tcMar>
          </w:tcPr>
          <w:p>
            <w:pPr>
              <w:ind w:firstLine="0"/>
            </w:pPr>
            <w:r>
              <w:rPr>
                <w:rFonts w:ascii="Noto Serif CJK SC" w:hAnsi="Noto Serif CJK SC" w:eastAsia="Noto Serif CJK SC"/>
                <w:color w:val="232323"/>
                <w:sz w:val="17"/>
              </w:rPr>
              <w:t>自我很稳定但仍能根据现实更新</w:t>
            </w:r>
          </w:p>
        </w:tc>
      </w:tr>
      <w:tr>
        <w:tc>
          <w:tcPr>
            <w:tcW w:type="dxa" w:w="3173"/>
            <w:vAlign w:val="center"/>
            <w:tcMar>
              <w:top w:w="80" w:type="dxa"/>
              <w:start w:w="100" w:type="dxa"/>
              <w:bottom w:w="80" w:type="dxa"/>
              <w:end w:w="100" w:type="dxa"/>
            </w:tcMar>
          </w:tcPr>
          <w:p>
            <w:pPr>
              <w:ind w:firstLine="0"/>
            </w:pPr>
            <w:r>
              <w:rPr>
                <w:rFonts w:ascii="Noto Serif CJK SC" w:hAnsi="Noto Serif CJK SC" w:eastAsia="Noto Serif CJK SC"/>
                <w:color w:val="232323"/>
                <w:sz w:val="17"/>
              </w:rPr>
              <w:t>心理时间差 D</w:t>
            </w:r>
          </w:p>
        </w:tc>
        <w:tc>
          <w:tcPr>
            <w:tcW w:type="dxa" w:w="3173"/>
            <w:vAlign w:val="center"/>
            <w:tcMar>
              <w:top w:w="80" w:type="dxa"/>
              <w:start w:w="100" w:type="dxa"/>
              <w:bottom w:w="80" w:type="dxa"/>
              <w:end w:w="100" w:type="dxa"/>
            </w:tcMar>
          </w:tcPr>
          <w:p>
            <w:pPr>
              <w:ind w:firstLine="0"/>
            </w:pPr>
            <w:r>
              <w:rPr>
                <w:rFonts w:ascii="Noto Serif CJK SC" w:hAnsi="Noto Serif CJK SC" w:eastAsia="Noto Serif CJK SC"/>
                <w:color w:val="232323"/>
                <w:sz w:val="17"/>
              </w:rPr>
              <w:t>现在离旧痕迹有多远？</w:t>
            </w:r>
          </w:p>
        </w:tc>
        <w:tc>
          <w:tcPr>
            <w:tcW w:type="dxa" w:w="3173"/>
            <w:vAlign w:val="center"/>
            <w:tcMar>
              <w:top w:w="80" w:type="dxa"/>
              <w:start w:w="100" w:type="dxa"/>
              <w:bottom w:w="80" w:type="dxa"/>
              <w:end w:w="100" w:type="dxa"/>
            </w:tcMar>
          </w:tcPr>
          <w:p>
            <w:pPr>
              <w:ind w:firstLine="0"/>
            </w:pPr>
            <w:r>
              <w:rPr>
                <w:rFonts w:ascii="Noto Serif CJK SC" w:hAnsi="Noto Serif CJK SC" w:eastAsia="Noto Serif CJK SC"/>
                <w:color w:val="232323"/>
                <w:sz w:val="17"/>
              </w:rPr>
              <w:t>长期哀伤仍记得过去，但并不持续高痛苦</w:t>
            </w:r>
          </w:p>
        </w:tc>
      </w:tr>
      <w:tr>
        <w:tc>
          <w:tcPr>
            <w:tcW w:type="dxa" w:w="3173"/>
            <w:vAlign w:val="center"/>
            <w:tcMar>
              <w:top w:w="80" w:type="dxa"/>
              <w:start w:w="100" w:type="dxa"/>
              <w:bottom w:w="80" w:type="dxa"/>
              <w:end w:w="100" w:type="dxa"/>
            </w:tcMar>
          </w:tcPr>
          <w:p>
            <w:pPr>
              <w:ind w:firstLine="0"/>
            </w:pPr>
            <w:r>
              <w:rPr>
                <w:rFonts w:ascii="Noto Serif CJK SC" w:hAnsi="Noto Serif CJK SC" w:eastAsia="Noto Serif CJK SC"/>
                <w:color w:val="232323"/>
                <w:sz w:val="17"/>
              </w:rPr>
              <w:t>约束权 Λ</w:t>
            </w:r>
          </w:p>
        </w:tc>
        <w:tc>
          <w:tcPr>
            <w:tcW w:type="dxa" w:w="3173"/>
            <w:vAlign w:val="center"/>
            <w:tcMar>
              <w:top w:w="80" w:type="dxa"/>
              <w:start w:w="100" w:type="dxa"/>
              <w:bottom w:w="80" w:type="dxa"/>
              <w:end w:w="100" w:type="dxa"/>
            </w:tcMar>
          </w:tcPr>
          <w:p>
            <w:pPr>
              <w:ind w:firstLine="0"/>
            </w:pPr>
            <w:r>
              <w:rPr>
                <w:rFonts w:ascii="Noto Serif CJK SC" w:hAnsi="Noto Serif CJK SC" w:eastAsia="Noto Serif CJK SC"/>
                <w:color w:val="232323"/>
                <w:sz w:val="17"/>
              </w:rPr>
              <w:t>旧结构多大程度要求现实服从？</w:t>
            </w:r>
          </w:p>
        </w:tc>
        <w:tc>
          <w:tcPr>
            <w:tcW w:type="dxa" w:w="3173"/>
            <w:vAlign w:val="center"/>
            <w:tcMar>
              <w:top w:w="80" w:type="dxa"/>
              <w:start w:w="100" w:type="dxa"/>
              <w:bottom w:w="80" w:type="dxa"/>
              <w:end w:w="100" w:type="dxa"/>
            </w:tcMar>
          </w:tcPr>
          <w:p>
            <w:pPr>
              <w:ind w:firstLine="0"/>
            </w:pPr>
            <w:r>
              <w:rPr>
                <w:rFonts w:ascii="Noto Serif CJK SC" w:hAnsi="Noto Serif CJK SC" w:eastAsia="Noto Serif CJK SC"/>
                <w:color w:val="232323"/>
                <w:sz w:val="17"/>
              </w:rPr>
              <w:t>同样想念前任，一人接受分手、一人要求恢复过去</w:t>
            </w:r>
          </w:p>
        </w:tc>
      </w:tr>
      <w:tr>
        <w:tc>
          <w:tcPr>
            <w:tcW w:type="dxa" w:w="3173"/>
            <w:vAlign w:val="center"/>
            <w:tcMar>
              <w:top w:w="80" w:type="dxa"/>
              <w:start w:w="100" w:type="dxa"/>
              <w:bottom w:w="80" w:type="dxa"/>
              <w:end w:w="100" w:type="dxa"/>
            </w:tcMar>
          </w:tcPr>
          <w:p>
            <w:pPr>
              <w:ind w:firstLine="0"/>
            </w:pPr>
            <w:r>
              <w:rPr>
                <w:rFonts w:ascii="Noto Serif CJK SC" w:hAnsi="Noto Serif CJK SC" w:eastAsia="Noto Serif CJK SC"/>
                <w:color w:val="232323"/>
                <w:sz w:val="17"/>
              </w:rPr>
              <w:t>痛苦 P</w:t>
            </w:r>
          </w:p>
        </w:tc>
        <w:tc>
          <w:tcPr>
            <w:tcW w:type="dxa" w:w="3173"/>
            <w:vAlign w:val="center"/>
            <w:tcMar>
              <w:top w:w="80" w:type="dxa"/>
              <w:start w:w="100" w:type="dxa"/>
              <w:bottom w:w="80" w:type="dxa"/>
              <w:end w:w="100" w:type="dxa"/>
            </w:tcMar>
          </w:tcPr>
          <w:p>
            <w:pPr>
              <w:ind w:firstLine="0"/>
            </w:pPr>
            <w:r>
              <w:rPr>
                <w:rFonts w:ascii="Noto Serif CJK SC" w:hAnsi="Noto Serif CJK SC" w:eastAsia="Noto Serif CJK SC"/>
                <w:color w:val="232323"/>
                <w:sz w:val="17"/>
              </w:rPr>
              <w:t>此刻碰撞有多强？</w:t>
            </w:r>
          </w:p>
        </w:tc>
        <w:tc>
          <w:tcPr>
            <w:tcW w:type="dxa" w:w="3173"/>
            <w:vAlign w:val="center"/>
            <w:tcMar>
              <w:top w:w="80" w:type="dxa"/>
              <w:start w:w="100" w:type="dxa"/>
              <w:bottom w:w="80" w:type="dxa"/>
              <w:end w:w="100" w:type="dxa"/>
            </w:tcMar>
          </w:tcPr>
          <w:p>
            <w:pPr>
              <w:ind w:firstLine="0"/>
            </w:pPr>
            <w:r>
              <w:rPr>
                <w:rFonts w:ascii="Noto Serif CJK SC" w:hAnsi="Noto Serif CJK SC" w:eastAsia="Noto Serif CJK SC"/>
                <w:color w:val="232323"/>
                <w:sz w:val="17"/>
              </w:rPr>
              <w:t>一次剧痛可以很短</w:t>
            </w:r>
          </w:p>
        </w:tc>
      </w:tr>
      <w:tr>
        <w:tc>
          <w:tcPr>
            <w:tcW w:type="dxa" w:w="3173"/>
            <w:vAlign w:val="center"/>
            <w:tcMar>
              <w:top w:w="80" w:type="dxa"/>
              <w:start w:w="100" w:type="dxa"/>
              <w:bottom w:w="80" w:type="dxa"/>
              <w:end w:w="100" w:type="dxa"/>
            </w:tcMar>
          </w:tcPr>
          <w:p>
            <w:pPr>
              <w:ind w:firstLine="0"/>
            </w:pPr>
            <w:r>
              <w:rPr>
                <w:rFonts w:ascii="Noto Serif CJK SC" w:hAnsi="Noto Serif CJK SC" w:eastAsia="Noto Serif CJK SC"/>
                <w:color w:val="232323"/>
                <w:sz w:val="17"/>
              </w:rPr>
              <w:t>情绪 E</w:t>
            </w:r>
          </w:p>
        </w:tc>
        <w:tc>
          <w:tcPr>
            <w:tcW w:type="dxa" w:w="3173"/>
            <w:vAlign w:val="center"/>
            <w:tcMar>
              <w:top w:w="80" w:type="dxa"/>
              <w:start w:w="100" w:type="dxa"/>
              <w:bottom w:w="80" w:type="dxa"/>
              <w:end w:w="100" w:type="dxa"/>
            </w:tcMar>
          </w:tcPr>
          <w:p>
            <w:pPr>
              <w:ind w:firstLine="0"/>
            </w:pPr>
            <w:r>
              <w:rPr>
                <w:rFonts w:ascii="Noto Serif CJK SC" w:hAnsi="Noto Serif CJK SC" w:eastAsia="Noto Serif CJK SC"/>
                <w:color w:val="232323"/>
                <w:sz w:val="17"/>
              </w:rPr>
              <w:t>碰撞如何传播并持续？</w:t>
            </w:r>
          </w:p>
        </w:tc>
        <w:tc>
          <w:tcPr>
            <w:tcW w:type="dxa" w:w="3173"/>
            <w:vAlign w:val="center"/>
            <w:tcMar>
              <w:top w:w="80" w:type="dxa"/>
              <w:start w:w="100" w:type="dxa"/>
              <w:bottom w:w="80" w:type="dxa"/>
              <w:end w:w="100" w:type="dxa"/>
            </w:tcMar>
          </w:tcPr>
          <w:p>
            <w:pPr>
              <w:ind w:firstLine="0"/>
            </w:pPr>
            <w:r>
              <w:rPr>
                <w:rFonts w:ascii="Noto Serif CJK SC" w:hAnsi="Noto Serif CJK SC" w:eastAsia="Noto Serif CJK SC"/>
                <w:color w:val="232323"/>
                <w:sz w:val="17"/>
              </w:rPr>
              <w:t>事件过去后仍烦躁、低兴趣</w:t>
            </w:r>
          </w:p>
        </w:tc>
      </w:tr>
      <w:tr>
        <w:tc>
          <w:tcPr>
            <w:tcW w:type="dxa" w:w="3173"/>
            <w:vAlign w:val="center"/>
            <w:tcMar>
              <w:top w:w="80" w:type="dxa"/>
              <w:start w:w="100" w:type="dxa"/>
              <w:bottom w:w="80" w:type="dxa"/>
              <w:end w:w="100" w:type="dxa"/>
            </w:tcMar>
          </w:tcPr>
          <w:p>
            <w:pPr>
              <w:ind w:firstLine="0"/>
            </w:pPr>
            <w:r>
              <w:rPr>
                <w:rFonts w:ascii="Noto Serif CJK SC" w:hAnsi="Noto Serif CJK SC" w:eastAsia="Noto Serif CJK SC"/>
                <w:color w:val="232323"/>
                <w:sz w:val="17"/>
              </w:rPr>
              <w:t>累 F</w:t>
            </w:r>
          </w:p>
        </w:tc>
        <w:tc>
          <w:tcPr>
            <w:tcW w:type="dxa" w:w="3173"/>
            <w:vAlign w:val="center"/>
            <w:tcMar>
              <w:top w:w="80" w:type="dxa"/>
              <w:start w:w="100" w:type="dxa"/>
              <w:bottom w:w="80" w:type="dxa"/>
              <w:end w:w="100" w:type="dxa"/>
            </w:tcMar>
          </w:tcPr>
          <w:p>
            <w:pPr>
              <w:ind w:firstLine="0"/>
            </w:pPr>
            <w:r>
              <w:rPr>
                <w:rFonts w:ascii="Noto Serif CJK SC" w:hAnsi="Noto Serif CJK SC" w:eastAsia="Noto Serif CJK SC"/>
                <w:color w:val="232323"/>
                <w:sz w:val="17"/>
              </w:rPr>
              <w:t>长期控制付了多少成本？</w:t>
            </w:r>
          </w:p>
        </w:tc>
        <w:tc>
          <w:tcPr>
            <w:tcW w:type="dxa" w:w="3173"/>
            <w:vAlign w:val="center"/>
            <w:tcMar>
              <w:top w:w="80" w:type="dxa"/>
              <w:start w:w="100" w:type="dxa"/>
              <w:bottom w:w="80" w:type="dxa"/>
              <w:end w:w="100" w:type="dxa"/>
            </w:tcMar>
          </w:tcPr>
          <w:p>
            <w:pPr>
              <w:ind w:firstLine="0"/>
            </w:pPr>
            <w:r>
              <w:rPr>
                <w:rFonts w:ascii="Noto Serif CJK SC" w:hAnsi="Noto Serif CJK SC" w:eastAsia="Noto Serif CJK SC"/>
                <w:color w:val="232323"/>
                <w:sz w:val="17"/>
              </w:rPr>
              <w:t>未必剧痛但长期倦怠</w:t>
            </w:r>
          </w:p>
        </w:tc>
      </w:tr>
    </w:tbl>
    <w:p>
      <w:pPr>
        <w:pStyle w:val="Heading1"/>
        <w:keepNext/>
        <w:keepLines/>
      </w:pPr>
      <w:r>
        <w:t>6. 发生有效秩：从多向现实到单一解释</w:t>
      </w:r>
    </w:p>
    <w:p>
      <w:r>
        <w:t>第二份报告已经冻结过一个强预测：闭合越强，不同现实输入越可能被吸回同一解释。最终研究把这一点压成有效秩。设不同现实引发的响应协方差由“多方向背景+一个越来越强的主导约束”构成：</w:t>
      </w:r>
    </w:p>
    <w:p>
      <w:pPr>
        <w:pStyle w:val="Equation"/>
      </w:pPr>
      <w:r>
        <w:rPr>
          <w:rFonts w:ascii="FreeSerif" w:hAnsi="FreeSerif" w:eastAsia="FreeSerif"/>
          <w:color w:val="232323"/>
          <w:sz w:val="21"/>
        </w:rPr>
        <w:t>Σ = σ²I_d + θuuᵀ，z = θ/σ²</w:t>
      </w:r>
    </w:p>
    <w:p>
      <w:pPr>
        <w:pStyle w:val="Equation"/>
      </w:pPr>
      <w:r>
        <w:rPr>
          <w:rFonts w:ascii="FreeSerif" w:hAnsi="FreeSerif" w:eastAsia="FreeSerif"/>
          <w:color w:val="232323"/>
          <w:sz w:val="21"/>
        </w:rPr>
        <w:t>r_gen = (tr Σ)² / tr(Σ²) = (d+z)² / (d+2z+z²)</w:t>
      </w:r>
    </w:p>
    <w:p>
      <w:pPr>
        <w:pStyle w:val="Equation"/>
      </w:pPr>
      <w:r>
        <w:rPr>
          <w:rFonts w:ascii="FreeSerif" w:hAnsi="FreeSerif" w:eastAsia="FreeSerif"/>
          <w:color w:val="232323"/>
          <w:sz w:val="21"/>
        </w:rPr>
        <w:t>dr_gen/dz = − 2z(d−1)(d+z) / (d+2z+z²)² ≤ 0</w:t>
      </w:r>
    </w:p>
    <w:p>
      <w:r>
        <w:t>在 d&gt;1 且 z&gt;0 时严格为负。因此在这个明确模型下，主导约束越强，不同现实能够产生的有效响应维度严格下降。极值为：</w:t>
      </w:r>
    </w:p>
    <w:p>
      <w:pPr>
        <w:pStyle w:val="Equation"/>
      </w:pPr>
      <w:r>
        <w:rPr>
          <w:rFonts w:ascii="FreeSerif" w:hAnsi="FreeSerif" w:eastAsia="FreeSerif"/>
          <w:color w:val="232323"/>
          <w:sz w:val="21"/>
        </w:rPr>
        <w:t>r_max = d（z=0），r_min = 1（z→∞）</w:t>
      </w:r>
    </w:p>
    <w:p>
      <w:pPr>
        <w:jc w:val="center"/>
      </w:pPr>
      <w:r>
        <w:drawing>
          <wp:inline xmlns:a="http://schemas.openxmlformats.org/drawingml/2006/main" xmlns:pic="http://schemas.openxmlformats.org/drawingml/2006/picture">
            <wp:extent cx="5577840" cy="3486150"/>
            <wp:docPr id="1" name="Picture 1"/>
            <wp:cNvGraphicFramePr>
              <a:graphicFrameLocks noChangeAspect="1"/>
            </wp:cNvGraphicFramePr>
            <a:graphic>
              <a:graphicData uri="http://schemas.openxmlformats.org/drawingml/2006/picture">
                <pic:pic>
                  <pic:nvPicPr>
                    <pic:cNvPr id="0" name="effective_rank.png"/>
                    <pic:cNvPicPr/>
                  </pic:nvPicPr>
                  <pic:blipFill>
                    <a:blip r:embed="rId11"/>
                    <a:stretch>
                      <a:fillRect/>
                    </a:stretch>
                  </pic:blipFill>
                  <pic:spPr>
                    <a:xfrm>
                      <a:off x="0" y="0"/>
                      <a:ext cx="5577840" cy="3486150"/>
                    </a:xfrm>
                    <a:prstGeom prst="rect"/>
                  </pic:spPr>
                </pic:pic>
              </a:graphicData>
            </a:graphic>
          </wp:inline>
        </w:drawing>
      </w:r>
    </w:p>
    <w:p>
      <w:pPr>
        <w:pStyle w:val="SmallNote"/>
        <w:jc w:val="center"/>
      </w:pPr>
      <w:r>
        <w:t>图1  主导约束增强时发生有效秩的单调下降（示意；不同 d 表示可用响应维度）</w:t>
      </w:r>
    </w:p>
    <w:p>
      <w:r>
        <w:t>现代研究已经分别观察到情绪概念空间压缩、情绪分化降低以及缓解期自责选择性概念过度泛化 [R4][R9][R13]，但尚没有研究直接用“多类型现实扰动→响应向量→有效秩”检验本模型。因此“发生秩坍缩”仍属于独特且可直接失败的预测。</w:t>
      </w:r>
    </w:p>
    <w:p>
      <w:pPr>
        <w:pStyle w:val="Heading1"/>
        <w:keepNext/>
        <w:keepLines/>
      </w:pPr>
      <w:r>
        <w:t>7. 约束本体化相变：阈值、双稳态、滞后与临界减速</w:t>
      </w:r>
    </w:p>
    <w:p>
      <w:r>
        <w:t>原文反复强调固定以后会继续“增加修辞、增加意义”，说明仅有一次命名不足以解释持续闭合，必须引入正反馈。最小归一化模型：</w:t>
      </w:r>
    </w:p>
    <w:p>
      <w:pPr>
        <w:pStyle w:val="Equation"/>
      </w:pPr>
      <w:r>
        <w:rPr>
          <w:rFonts w:ascii="FreeSerif" w:hAnsi="FreeSerif" w:eastAsia="FreeSerif"/>
          <w:color w:val="232323"/>
          <w:sz w:val="21"/>
        </w:rPr>
        <w:t>dm/dt = h − m + κ m²/(1+m²)</w:t>
      </w:r>
    </w:p>
    <w:p>
      <w:r>
        <w:t>m 表示某个约束模式对当前系统的支配强度；h 是当前现实对该模式的外部推动；κ 是自强化增益。撤去外部推动 h=0 后，非零平衡满足：</w:t>
      </w:r>
    </w:p>
    <w:p>
      <w:pPr>
        <w:pStyle w:val="Equation"/>
      </w:pPr>
      <w:r>
        <w:rPr>
          <w:rFonts w:ascii="FreeSerif" w:hAnsi="FreeSerif" w:eastAsia="FreeSerif"/>
          <w:color w:val="232323"/>
          <w:sz w:val="21"/>
        </w:rPr>
        <w:t>m² − κm + 1 = 0，m± = [κ ± √(κ²−4)]/2</w:t>
      </w:r>
    </w:p>
    <w:p>
      <w:pPr>
        <w:pStyle w:val="Equation"/>
      </w:pPr>
      <w:r>
        <w:rPr>
          <w:rFonts w:ascii="FreeSerif" w:hAnsi="FreeSerif" w:eastAsia="FreeSerif"/>
          <w:color w:val="232323"/>
          <w:sz w:val="21"/>
        </w:rPr>
        <w:t>临界值：κ_c = 2（本归一化模型）</w:t>
      </w:r>
    </w:p>
    <w:p>
      <w:r>
        <w:t>当 κ&lt;2 时，只有低约束稳定态 m=0；当 κ&gt;2 时出现低态、阈值支和高约束稳定支，形成双稳态。这意味着一次现实事件可把系统推入高约束状态；事件消失以后，内部正反馈仍可让高态自维持。进入与退出路径因此可不同，即出现滞后。</w:t>
      </w:r>
    </w:p>
    <w:p>
      <w:pPr>
        <w:jc w:val="center"/>
      </w:pPr>
      <w:r>
        <w:drawing>
          <wp:inline xmlns:a="http://schemas.openxmlformats.org/drawingml/2006/main" xmlns:pic="http://schemas.openxmlformats.org/drawingml/2006/picture">
            <wp:extent cx="5577840" cy="3486150"/>
            <wp:docPr id="2" name="Picture 2"/>
            <wp:cNvGraphicFramePr>
              <a:graphicFrameLocks noChangeAspect="1"/>
            </wp:cNvGraphicFramePr>
            <a:graphic>
              <a:graphicData uri="http://schemas.openxmlformats.org/drawingml/2006/picture">
                <pic:pic>
                  <pic:nvPicPr>
                    <pic:cNvPr id="0" name="phase_transition.png"/>
                    <pic:cNvPicPr/>
                  </pic:nvPicPr>
                  <pic:blipFill>
                    <a:blip r:embed="rId12"/>
                    <a:stretch>
                      <a:fillRect/>
                    </a:stretch>
                  </pic:blipFill>
                  <pic:spPr>
                    <a:xfrm>
                      <a:off x="0" y="0"/>
                      <a:ext cx="5577840" cy="3486150"/>
                    </a:xfrm>
                    <a:prstGeom prst="rect"/>
                  </pic:spPr>
                </pic:pic>
              </a:graphicData>
            </a:graphic>
          </wp:inline>
        </w:drawing>
      </w:r>
    </w:p>
    <w:p>
      <w:pPr>
        <w:pStyle w:val="SmallNote"/>
        <w:jc w:val="center"/>
      </w:pPr>
      <w:r>
        <w:t>图2  最小正反馈模型的临界点与双稳态。κ=2不是人类临床常数，只是该归一化模型的数学阈值。</w:t>
      </w:r>
    </w:p>
    <w:p>
      <w:pPr>
        <w:pStyle w:val="Heading2"/>
        <w:keepNext/>
        <w:keepLines/>
      </w:pPr>
      <w:r>
        <w:t>7.1 临界减速</w:t>
      </w:r>
    </w:p>
    <w:p>
      <w:pPr>
        <w:pStyle w:val="Equation"/>
      </w:pPr>
      <w:r>
        <w:rPr>
          <w:rFonts w:ascii="FreeSerif" w:hAnsi="FreeSerif" w:eastAsia="FreeSerif"/>
          <w:color w:val="232323"/>
          <w:sz w:val="21"/>
        </w:rPr>
        <w:t>m = m* + δ，dδ/dt ≈ f′(m*)δ，τ ≈ 1/|f′(m*)|</w:t>
      </w:r>
    </w:p>
    <w:p>
      <w:r>
        <w:t>临界点附近 f′(m*)→0，恢复时间 τ 增大，因此模型预言状态转变前可能出现恢复变慢、自相关和方差上升。现代心理临界转变研究确实观察到相近现象，但证据并不稳定，2025方法学审计指出不少研究未满足临界转变理论的必要假设 [R14][R15]。因此本报告不把“临界减速”写成已验证事实，而保留为可检验接口。</w:t>
      </w:r>
    </w:p>
    <w:p>
      <w:pPr>
        <w:pStyle w:val="Heading1"/>
        <w:keepNext/>
        <w:keepLines/>
      </w:pPr>
      <w:r>
        <w:t>8. 与现代心理学前沿的接口与差异</w:t>
      </w:r>
    </w:p>
    <w:tbl>
      <w:tblPr>
        <w:tblStyle w:val="TableGrid"/>
        <w:tblW w:type="auto" w:w="0"/>
        <w:jc w:val="center"/>
        <w:tblLook w:firstColumn="1" w:firstRow="1" w:lastColumn="0" w:lastRow="0" w:noHBand="0" w:noVBand="1" w:val="04A0"/>
      </w:tblPr>
      <w:tblGrid>
        <w:gridCol w:w="2380"/>
        <w:gridCol w:w="2380"/>
        <w:gridCol w:w="2380"/>
        <w:gridCol w:w="2380"/>
      </w:tblGrid>
      <w:tr>
        <w:tc>
          <w:tcPr>
            <w:tcW w:type="dxa" w:w="2380"/>
            <w:shd w:fill="EAF0F5"/>
            <w:vAlign w:val="center"/>
            <w:tcMar>
              <w:top w:w="80" w:type="dxa"/>
              <w:start w:w="100" w:type="dxa"/>
              <w:bottom w:w="80" w:type="dxa"/>
              <w:end w:w="100" w:type="dxa"/>
            </w:tcMar>
          </w:tcPr>
          <w:p>
            <w:pPr>
              <w:jc w:val="center"/>
            </w:pPr>
            <w:r>
              <w:rPr>
                <w:rFonts w:ascii="Noto Sans CJK SC" w:hAnsi="Noto Sans CJK SC" w:eastAsia="Noto Sans CJK SC"/>
                <w:b/>
                <w:color w:val="1F364E"/>
                <w:sz w:val="16"/>
              </w:rPr>
              <w:t>现代方向</w:t>
            </w:r>
          </w:p>
        </w:tc>
        <w:tc>
          <w:tcPr>
            <w:tcW w:type="dxa" w:w="2380"/>
            <w:shd w:fill="EAF0F5"/>
            <w:vAlign w:val="center"/>
            <w:tcMar>
              <w:top w:w="80" w:type="dxa"/>
              <w:start w:w="100" w:type="dxa"/>
              <w:bottom w:w="80" w:type="dxa"/>
              <w:end w:w="100" w:type="dxa"/>
            </w:tcMar>
          </w:tcPr>
          <w:p>
            <w:pPr>
              <w:jc w:val="center"/>
            </w:pPr>
            <w:r>
              <w:rPr>
                <w:rFonts w:ascii="Noto Sans CJK SC" w:hAnsi="Noto Sans CJK SC" w:eastAsia="Noto Sans CJK SC"/>
                <w:b/>
                <w:color w:val="1F364E"/>
                <w:sz w:val="16"/>
              </w:rPr>
              <w:t>现代已经做到什么</w:t>
            </w:r>
          </w:p>
        </w:tc>
        <w:tc>
          <w:tcPr>
            <w:tcW w:type="dxa" w:w="2380"/>
            <w:shd w:fill="EAF0F5"/>
            <w:vAlign w:val="center"/>
            <w:tcMar>
              <w:top w:w="80" w:type="dxa"/>
              <w:start w:w="100" w:type="dxa"/>
              <w:bottom w:w="80" w:type="dxa"/>
              <w:end w:w="100" w:type="dxa"/>
            </w:tcMar>
          </w:tcPr>
          <w:p>
            <w:pPr>
              <w:jc w:val="center"/>
            </w:pPr>
            <w:r>
              <w:rPr>
                <w:rFonts w:ascii="Noto Sans CJK SC" w:hAnsi="Noto Sans CJK SC" w:eastAsia="Noto Sans CJK SC"/>
                <w:b/>
                <w:color w:val="1F364E"/>
                <w:sz w:val="16"/>
              </w:rPr>
              <w:t>本研究不能据此声称什么</w:t>
            </w:r>
          </w:p>
        </w:tc>
        <w:tc>
          <w:tcPr>
            <w:tcW w:type="dxa" w:w="2380"/>
            <w:shd w:fill="EAF0F5"/>
            <w:vAlign w:val="center"/>
            <w:tcMar>
              <w:top w:w="80" w:type="dxa"/>
              <w:start w:w="100" w:type="dxa"/>
              <w:bottom w:w="80" w:type="dxa"/>
              <w:end w:w="100" w:type="dxa"/>
            </w:tcMar>
          </w:tcPr>
          <w:p>
            <w:pPr>
              <w:jc w:val="center"/>
            </w:pPr>
            <w:r>
              <w:rPr>
                <w:rFonts w:ascii="Noto Sans CJK SC" w:hAnsi="Noto Sans CJK SC" w:eastAsia="Noto Sans CJK SC"/>
                <w:b/>
                <w:color w:val="1F364E"/>
                <w:sz w:val="16"/>
              </w:rPr>
              <w:t>发生论继续往下问什么</w:t>
            </w:r>
          </w:p>
        </w:tc>
      </w:tr>
      <w:tr>
        <w:tc>
          <w:tcPr>
            <w:tcW w:type="dxa" w:w="2380"/>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ACT/心理灵活性</w:t>
            </w:r>
          </w:p>
        </w:tc>
        <w:tc>
          <w:tcPr>
            <w:tcW w:type="dxa" w:w="2380"/>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研究认知融合、回避、价值与灵活性</w:t>
            </w:r>
          </w:p>
        </w:tc>
        <w:tc>
          <w:tcPr>
            <w:tcW w:type="dxa" w:w="2380"/>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“灵活性”不是新发现</w:t>
            </w:r>
          </w:p>
        </w:tc>
        <w:tc>
          <w:tcPr>
            <w:tcW w:type="dxa" w:w="2380"/>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谁/什么结构取得了固定控制权，为什么灵活性会丢失</w:t>
            </w:r>
          </w:p>
        </w:tc>
      </w:tr>
      <w:tr>
        <w:tc>
          <w:tcPr>
            <w:tcW w:type="dxa" w:w="2380"/>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自我网络</w:t>
            </w:r>
          </w:p>
        </w:tc>
        <w:tc>
          <w:tcPr>
            <w:tcW w:type="dxa" w:w="2380"/>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2026提出自我是动态因果网络 [R3]</w:t>
            </w:r>
          </w:p>
        </w:tc>
        <w:tc>
          <w:tcPr>
            <w:tcW w:type="dxa" w:w="2380"/>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“自我是网络”不是新突破</w:t>
            </w:r>
          </w:p>
        </w:tc>
        <w:tc>
          <w:tcPr>
            <w:tcW w:type="dxa" w:w="2380"/>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节点、边界与网络本身如何由发生生成/消失</w:t>
            </w:r>
          </w:p>
        </w:tc>
      </w:tr>
      <w:tr>
        <w:tc>
          <w:tcPr>
            <w:tcW w:type="dxa" w:w="2380"/>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信念更新</w:t>
            </w:r>
          </w:p>
        </w:tc>
        <w:tc>
          <w:tcPr>
            <w:tcW w:type="dxa" w:w="2380"/>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Meta分析发现积极反证更新较弱 [R1]；真实生活研究见更新后反转 [R2]</w:t>
            </w:r>
          </w:p>
        </w:tc>
        <w:tc>
          <w:tcPr>
            <w:tcW w:type="dxa" w:w="2380"/>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不能说现代不知道更新困难</w:t>
            </w:r>
          </w:p>
        </w:tc>
        <w:tc>
          <w:tcPr>
            <w:tcW w:type="dxa" w:w="2380"/>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区分进入率、保持率与回捕，并预测其与发生秩、约束权的耦合</w:t>
            </w:r>
          </w:p>
        </w:tc>
      </w:tr>
      <w:tr>
        <w:tc>
          <w:tcPr>
            <w:tcW w:type="dxa" w:w="2380"/>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情绪动力/EMA</w:t>
            </w:r>
          </w:p>
        </w:tc>
        <w:tc>
          <w:tcPr>
            <w:tcW w:type="dxa" w:w="2380"/>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抑郁及缓解期可有情绪惯性、网络稠密 [R5][R10]</w:t>
            </w:r>
          </w:p>
        </w:tc>
        <w:tc>
          <w:tcPr>
            <w:tcW w:type="dxa" w:w="2380"/>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不能把惯性当精神现实主义独创</w:t>
            </w:r>
          </w:p>
        </w:tc>
        <w:tc>
          <w:tcPr>
            <w:tcW w:type="dxa" w:w="2380"/>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一次摩擦、系统传播和长期耗损如何分层产生</w:t>
            </w:r>
          </w:p>
        </w:tc>
      </w:tr>
      <w:tr>
        <w:tc>
          <w:tcPr>
            <w:tcW w:type="dxa" w:w="2380"/>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复杂系统/临界转变</w:t>
            </w:r>
          </w:p>
        </w:tc>
        <w:tc>
          <w:tcPr>
            <w:tcW w:type="dxa" w:w="2380"/>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研究吸引子、tipping point、EWS [R14–R16]</w:t>
            </w:r>
          </w:p>
        </w:tc>
        <w:tc>
          <w:tcPr>
            <w:tcW w:type="dxa" w:w="2380"/>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不能声称“心理会相变”首次提出</w:t>
            </w:r>
          </w:p>
        </w:tc>
        <w:tc>
          <w:tcPr>
            <w:tcW w:type="dxa" w:w="2380"/>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把相变对象下沉到临时关系约束取得规范权</w:t>
            </w:r>
          </w:p>
        </w:tc>
      </w:tr>
      <w:tr>
        <w:tc>
          <w:tcPr>
            <w:tcW w:type="dxa" w:w="2380"/>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认知疲劳</w:t>
            </w:r>
          </w:p>
        </w:tc>
        <w:tc>
          <w:tcPr>
            <w:tcW w:type="dxa" w:w="2380"/>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持续控制与疲劳成本已有理论 [R12]</w:t>
            </w:r>
          </w:p>
        </w:tc>
        <w:tc>
          <w:tcPr>
            <w:tcW w:type="dxa" w:w="2380"/>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不能声称“控制会累”首次发现</w:t>
            </w:r>
          </w:p>
        </w:tc>
        <w:tc>
          <w:tcPr>
            <w:tcW w:type="dxa" w:w="2380"/>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哪些疲劳来自为维护过时关系结构而进行的无效控制</w:t>
            </w:r>
          </w:p>
        </w:tc>
      </w:tr>
      <w:tr>
        <w:tc>
          <w:tcPr>
            <w:tcW w:type="dxa" w:w="2380"/>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概念压缩/过度泛化</w:t>
            </w:r>
          </w:p>
        </w:tc>
        <w:tc>
          <w:tcPr>
            <w:tcW w:type="dxa" w:w="2380"/>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情绪空间压缩、自责过度泛化 [R4][R13]</w:t>
            </w:r>
          </w:p>
        </w:tc>
        <w:tc>
          <w:tcPr>
            <w:tcW w:type="dxa" w:w="2380"/>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不能说低分化首次发现</w:t>
            </w:r>
          </w:p>
        </w:tc>
        <w:tc>
          <w:tcPr>
            <w:tcW w:type="dxa" w:w="2380"/>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预测多类型现实响应有效秩下降并早于症状恶化</w:t>
            </w:r>
          </w:p>
        </w:tc>
      </w:tr>
    </w:tbl>
    <w:p>
      <w:r>
        <w:t>因此，本研究与现代心理学的差别不能靠“别人研究碎片、我们研究整体”这种口号成立。可检验差异必须是：从一个更底层生成模型推出多个已知现象的共同条件，并产生现代分支理论没有直接要求的联合预测。</w:t>
      </w:r>
    </w:p>
    <w:p>
      <w:pPr>
        <w:pStyle w:val="Heading1"/>
        <w:keepNext/>
        <w:keepLines/>
      </w:pPr>
      <w:r>
        <w:t>9. 公开现实案例的预验证与隐私纪律</w:t>
      </w:r>
    </w:p>
    <w:p>
      <w:r>
        <w:t>在正式实验之前，研究用公开第一人称叙事做了两批探索性预验证。搜索规则和评分表先冻结，再按检索顺序纳入公开、非营销、信息足够的样本。第一批12例，第二批换平台做12例留出集，共24例；四个桶分别为抑郁/复发、哀伤、倦怠、关系破裂，每桶6例。编码为0/1/2或NA：M（自我/关系锚定）、D（过去—现在差）、P（瞬时摩擦）、E（情绪传播）、F（累计耗损）、ρ（回捕）、R（跨领域低秩收缩）、H（现象学滞后）。</w:t>
      </w:r>
    </w:p>
    <w:tbl>
      <w:tblPr>
        <w:tblStyle w:val="TableGrid"/>
        <w:tblW w:type="auto" w:w="0"/>
        <w:jc w:val="center"/>
        <w:tblLook w:firstColumn="1" w:firstRow="1" w:lastColumn="0" w:lastRow="0" w:noHBand="0" w:noVBand="1" w:val="04A0"/>
      </w:tblPr>
      <w:tblGrid>
        <w:gridCol w:w="1058"/>
        <w:gridCol w:w="1058"/>
        <w:gridCol w:w="1058"/>
        <w:gridCol w:w="1058"/>
        <w:gridCol w:w="1058"/>
        <w:gridCol w:w="1058"/>
        <w:gridCol w:w="1058"/>
        <w:gridCol w:w="1058"/>
        <w:gridCol w:w="1058"/>
      </w:tblGrid>
      <w:tr>
        <w:tc>
          <w:tcPr>
            <w:tcW w:type="dxa" w:w="1058"/>
            <w:shd w:fill="EAF0F5"/>
            <w:vAlign w:val="center"/>
            <w:tcMar>
              <w:top w:w="80" w:type="dxa"/>
              <w:start w:w="100" w:type="dxa"/>
              <w:bottom w:w="80" w:type="dxa"/>
              <w:end w:w="100" w:type="dxa"/>
            </w:tcMar>
          </w:tcPr>
          <w:p>
            <w:pPr>
              <w:jc w:val="center"/>
            </w:pPr>
            <w:r>
              <w:rPr>
                <w:rFonts w:ascii="Noto Sans CJK SC" w:hAnsi="Noto Sans CJK SC" w:eastAsia="Noto Sans CJK SC"/>
                <w:b/>
                <w:color w:val="1F364E"/>
                <w:sz w:val="17"/>
              </w:rPr>
              <w:t>类型</w:t>
            </w:r>
          </w:p>
        </w:tc>
        <w:tc>
          <w:tcPr>
            <w:tcW w:type="dxa" w:w="1058"/>
            <w:shd w:fill="EAF0F5"/>
            <w:vAlign w:val="center"/>
            <w:tcMar>
              <w:top w:w="80" w:type="dxa"/>
              <w:start w:w="100" w:type="dxa"/>
              <w:bottom w:w="80" w:type="dxa"/>
              <w:end w:w="100" w:type="dxa"/>
            </w:tcMar>
          </w:tcPr>
          <w:p>
            <w:pPr>
              <w:jc w:val="center"/>
            </w:pPr>
            <w:r>
              <w:rPr>
                <w:rFonts w:ascii="Noto Sans CJK SC" w:hAnsi="Noto Sans CJK SC" w:eastAsia="Noto Sans CJK SC"/>
                <w:b/>
                <w:color w:val="1F364E"/>
                <w:sz w:val="17"/>
              </w:rPr>
              <w:t>M</w:t>
            </w:r>
          </w:p>
        </w:tc>
        <w:tc>
          <w:tcPr>
            <w:tcW w:type="dxa" w:w="1058"/>
            <w:shd w:fill="EAF0F5"/>
            <w:vAlign w:val="center"/>
            <w:tcMar>
              <w:top w:w="80" w:type="dxa"/>
              <w:start w:w="100" w:type="dxa"/>
              <w:bottom w:w="80" w:type="dxa"/>
              <w:end w:w="100" w:type="dxa"/>
            </w:tcMar>
          </w:tcPr>
          <w:p>
            <w:pPr>
              <w:jc w:val="center"/>
            </w:pPr>
            <w:r>
              <w:rPr>
                <w:rFonts w:ascii="Noto Sans CJK SC" w:hAnsi="Noto Sans CJK SC" w:eastAsia="Noto Sans CJK SC"/>
                <w:b/>
                <w:color w:val="1F364E"/>
                <w:sz w:val="17"/>
              </w:rPr>
              <w:t>D</w:t>
            </w:r>
          </w:p>
        </w:tc>
        <w:tc>
          <w:tcPr>
            <w:tcW w:type="dxa" w:w="1058"/>
            <w:shd w:fill="EAF0F5"/>
            <w:vAlign w:val="center"/>
            <w:tcMar>
              <w:top w:w="80" w:type="dxa"/>
              <w:start w:w="100" w:type="dxa"/>
              <w:bottom w:w="80" w:type="dxa"/>
              <w:end w:w="100" w:type="dxa"/>
            </w:tcMar>
          </w:tcPr>
          <w:p>
            <w:pPr>
              <w:jc w:val="center"/>
            </w:pPr>
            <w:r>
              <w:rPr>
                <w:rFonts w:ascii="Noto Sans CJK SC" w:hAnsi="Noto Sans CJK SC" w:eastAsia="Noto Sans CJK SC"/>
                <w:b/>
                <w:color w:val="1F364E"/>
                <w:sz w:val="17"/>
              </w:rPr>
              <w:t>P</w:t>
            </w:r>
          </w:p>
        </w:tc>
        <w:tc>
          <w:tcPr>
            <w:tcW w:type="dxa" w:w="1058"/>
            <w:shd w:fill="EAF0F5"/>
            <w:vAlign w:val="center"/>
            <w:tcMar>
              <w:top w:w="80" w:type="dxa"/>
              <w:start w:w="100" w:type="dxa"/>
              <w:bottom w:w="80" w:type="dxa"/>
              <w:end w:w="100" w:type="dxa"/>
            </w:tcMar>
          </w:tcPr>
          <w:p>
            <w:pPr>
              <w:jc w:val="center"/>
            </w:pPr>
            <w:r>
              <w:rPr>
                <w:rFonts w:ascii="Noto Sans CJK SC" w:hAnsi="Noto Sans CJK SC" w:eastAsia="Noto Sans CJK SC"/>
                <w:b/>
                <w:color w:val="1F364E"/>
                <w:sz w:val="17"/>
              </w:rPr>
              <w:t>E</w:t>
            </w:r>
          </w:p>
        </w:tc>
        <w:tc>
          <w:tcPr>
            <w:tcW w:type="dxa" w:w="1058"/>
            <w:shd w:fill="EAF0F5"/>
            <w:vAlign w:val="center"/>
            <w:tcMar>
              <w:top w:w="80" w:type="dxa"/>
              <w:start w:w="100" w:type="dxa"/>
              <w:bottom w:w="80" w:type="dxa"/>
              <w:end w:w="100" w:type="dxa"/>
            </w:tcMar>
          </w:tcPr>
          <w:p>
            <w:pPr>
              <w:jc w:val="center"/>
            </w:pPr>
            <w:r>
              <w:rPr>
                <w:rFonts w:ascii="Noto Sans CJK SC" w:hAnsi="Noto Sans CJK SC" w:eastAsia="Noto Sans CJK SC"/>
                <w:b/>
                <w:color w:val="1F364E"/>
                <w:sz w:val="17"/>
              </w:rPr>
              <w:t>F</w:t>
            </w:r>
          </w:p>
        </w:tc>
        <w:tc>
          <w:tcPr>
            <w:tcW w:type="dxa" w:w="1058"/>
            <w:shd w:fill="EAF0F5"/>
            <w:vAlign w:val="center"/>
            <w:tcMar>
              <w:top w:w="80" w:type="dxa"/>
              <w:start w:w="100" w:type="dxa"/>
              <w:bottom w:w="80" w:type="dxa"/>
              <w:end w:w="100" w:type="dxa"/>
            </w:tcMar>
          </w:tcPr>
          <w:p>
            <w:pPr>
              <w:jc w:val="center"/>
            </w:pPr>
            <w:r>
              <w:rPr>
                <w:rFonts w:ascii="Noto Sans CJK SC" w:hAnsi="Noto Sans CJK SC" w:eastAsia="Noto Sans CJK SC"/>
                <w:b/>
                <w:color w:val="1F364E"/>
                <w:sz w:val="17"/>
              </w:rPr>
              <w:t>ρ</w:t>
            </w:r>
          </w:p>
        </w:tc>
        <w:tc>
          <w:tcPr>
            <w:tcW w:type="dxa" w:w="1058"/>
            <w:shd w:fill="EAF0F5"/>
            <w:vAlign w:val="center"/>
            <w:tcMar>
              <w:top w:w="80" w:type="dxa"/>
              <w:start w:w="100" w:type="dxa"/>
              <w:bottom w:w="80" w:type="dxa"/>
              <w:end w:w="100" w:type="dxa"/>
            </w:tcMar>
          </w:tcPr>
          <w:p>
            <w:pPr>
              <w:jc w:val="center"/>
            </w:pPr>
            <w:r>
              <w:rPr>
                <w:rFonts w:ascii="Noto Sans CJK SC" w:hAnsi="Noto Sans CJK SC" w:eastAsia="Noto Sans CJK SC"/>
                <w:b/>
                <w:color w:val="1F364E"/>
                <w:sz w:val="17"/>
              </w:rPr>
              <w:t>R</w:t>
            </w:r>
          </w:p>
        </w:tc>
        <w:tc>
          <w:tcPr>
            <w:tcW w:type="dxa" w:w="1058"/>
            <w:shd w:fill="EAF0F5"/>
            <w:vAlign w:val="center"/>
            <w:tcMar>
              <w:top w:w="80" w:type="dxa"/>
              <w:start w:w="100" w:type="dxa"/>
              <w:bottom w:w="80" w:type="dxa"/>
              <w:end w:w="100" w:type="dxa"/>
            </w:tcMar>
          </w:tcPr>
          <w:p>
            <w:pPr>
              <w:jc w:val="center"/>
            </w:pPr>
            <w:r>
              <w:rPr>
                <w:rFonts w:ascii="Noto Sans CJK SC" w:hAnsi="Noto Sans CJK SC" w:eastAsia="Noto Sans CJK SC"/>
                <w:b/>
                <w:color w:val="1F364E"/>
                <w:sz w:val="17"/>
              </w:rPr>
              <w:t>H</w:t>
            </w:r>
          </w:p>
        </w:tc>
      </w:tr>
      <w:tr>
        <w:tc>
          <w:tcPr>
            <w:tcW w:type="dxa" w:w="1058"/>
            <w:vAlign w:val="center"/>
            <w:tcMar>
              <w:top w:w="80" w:type="dxa"/>
              <w:start w:w="100" w:type="dxa"/>
              <w:bottom w:w="80" w:type="dxa"/>
              <w:end w:w="100" w:type="dxa"/>
            </w:tcMar>
          </w:tcPr>
          <w:p>
            <w:pPr>
              <w:ind w:firstLine="0"/>
            </w:pPr>
            <w:r>
              <w:rPr>
                <w:rFonts w:ascii="Noto Serif CJK SC" w:hAnsi="Noto Serif CJK SC" w:eastAsia="Noto Serif CJK SC"/>
                <w:color w:val="232323"/>
                <w:sz w:val="17"/>
              </w:rPr>
              <w:t>抑郁/复发</w:t>
            </w:r>
          </w:p>
        </w:tc>
        <w:tc>
          <w:tcPr>
            <w:tcW w:type="dxa" w:w="1058"/>
            <w:vAlign w:val="center"/>
            <w:tcMar>
              <w:top w:w="80" w:type="dxa"/>
              <w:start w:w="100" w:type="dxa"/>
              <w:bottom w:w="80" w:type="dxa"/>
              <w:end w:w="100" w:type="dxa"/>
            </w:tcMar>
          </w:tcPr>
          <w:p>
            <w:pPr>
              <w:ind w:firstLine="0"/>
            </w:pPr>
            <w:r>
              <w:rPr>
                <w:rFonts w:ascii="Noto Serif CJK SC" w:hAnsi="Noto Serif CJK SC" w:eastAsia="Noto Serif CJK SC"/>
                <w:color w:val="232323"/>
                <w:sz w:val="17"/>
              </w:rPr>
              <w:t>0.83</w:t>
            </w:r>
          </w:p>
        </w:tc>
        <w:tc>
          <w:tcPr>
            <w:tcW w:type="dxa" w:w="1058"/>
            <w:vAlign w:val="center"/>
            <w:tcMar>
              <w:top w:w="80" w:type="dxa"/>
              <w:start w:w="100" w:type="dxa"/>
              <w:bottom w:w="80" w:type="dxa"/>
              <w:end w:w="100" w:type="dxa"/>
            </w:tcMar>
          </w:tcPr>
          <w:p>
            <w:pPr>
              <w:ind w:firstLine="0"/>
            </w:pPr>
            <w:r>
              <w:rPr>
                <w:rFonts w:ascii="Noto Serif CJK SC" w:hAnsi="Noto Serif CJK SC" w:eastAsia="Noto Serif CJK SC"/>
                <w:color w:val="232323"/>
                <w:sz w:val="17"/>
              </w:rPr>
              <w:t>1.00</w:t>
            </w:r>
          </w:p>
        </w:tc>
        <w:tc>
          <w:tcPr>
            <w:tcW w:type="dxa" w:w="1058"/>
            <w:vAlign w:val="center"/>
            <w:tcMar>
              <w:top w:w="80" w:type="dxa"/>
              <w:start w:w="100" w:type="dxa"/>
              <w:bottom w:w="80" w:type="dxa"/>
              <w:end w:w="100" w:type="dxa"/>
            </w:tcMar>
          </w:tcPr>
          <w:p>
            <w:pPr>
              <w:ind w:firstLine="0"/>
            </w:pPr>
            <w:r>
              <w:rPr>
                <w:rFonts w:ascii="Noto Serif CJK SC" w:hAnsi="Noto Serif CJK SC" w:eastAsia="Noto Serif CJK SC"/>
                <w:color w:val="232323"/>
                <w:sz w:val="17"/>
              </w:rPr>
              <w:t>1.00</w:t>
            </w:r>
          </w:p>
        </w:tc>
        <w:tc>
          <w:tcPr>
            <w:tcW w:type="dxa" w:w="1058"/>
            <w:vAlign w:val="center"/>
            <w:tcMar>
              <w:top w:w="80" w:type="dxa"/>
              <w:start w:w="100" w:type="dxa"/>
              <w:bottom w:w="80" w:type="dxa"/>
              <w:end w:w="100" w:type="dxa"/>
            </w:tcMar>
          </w:tcPr>
          <w:p>
            <w:pPr>
              <w:ind w:firstLine="0"/>
            </w:pPr>
            <w:r>
              <w:rPr>
                <w:rFonts w:ascii="Noto Serif CJK SC" w:hAnsi="Noto Serif CJK SC" w:eastAsia="Noto Serif CJK SC"/>
                <w:color w:val="232323"/>
                <w:sz w:val="17"/>
              </w:rPr>
              <w:t>1.83</w:t>
            </w:r>
          </w:p>
        </w:tc>
        <w:tc>
          <w:tcPr>
            <w:tcW w:type="dxa" w:w="1058"/>
            <w:vAlign w:val="center"/>
            <w:tcMar>
              <w:top w:w="80" w:type="dxa"/>
              <w:start w:w="100" w:type="dxa"/>
              <w:bottom w:w="80" w:type="dxa"/>
              <w:end w:w="100" w:type="dxa"/>
            </w:tcMar>
          </w:tcPr>
          <w:p>
            <w:pPr>
              <w:ind w:firstLine="0"/>
            </w:pPr>
            <w:r>
              <w:rPr>
                <w:rFonts w:ascii="Noto Serif CJK SC" w:hAnsi="Noto Serif CJK SC" w:eastAsia="Noto Serif CJK SC"/>
                <w:color w:val="232323"/>
                <w:sz w:val="17"/>
              </w:rPr>
              <w:t>1.17</w:t>
            </w:r>
          </w:p>
        </w:tc>
        <w:tc>
          <w:tcPr>
            <w:tcW w:type="dxa" w:w="1058"/>
            <w:vAlign w:val="center"/>
            <w:tcMar>
              <w:top w:w="80" w:type="dxa"/>
              <w:start w:w="100" w:type="dxa"/>
              <w:bottom w:w="80" w:type="dxa"/>
              <w:end w:w="100" w:type="dxa"/>
            </w:tcMar>
          </w:tcPr>
          <w:p>
            <w:pPr>
              <w:ind w:firstLine="0"/>
            </w:pPr>
            <w:r>
              <w:rPr>
                <w:rFonts w:ascii="Noto Serif CJK SC" w:hAnsi="Noto Serif CJK SC" w:eastAsia="Noto Serif CJK SC"/>
                <w:color w:val="232323"/>
                <w:sz w:val="17"/>
              </w:rPr>
              <w:t>2.00</w:t>
            </w:r>
          </w:p>
        </w:tc>
        <w:tc>
          <w:tcPr>
            <w:tcW w:type="dxa" w:w="1058"/>
            <w:vAlign w:val="center"/>
            <w:tcMar>
              <w:top w:w="80" w:type="dxa"/>
              <w:start w:w="100" w:type="dxa"/>
              <w:bottom w:w="80" w:type="dxa"/>
              <w:end w:w="100" w:type="dxa"/>
            </w:tcMar>
          </w:tcPr>
          <w:p>
            <w:pPr>
              <w:ind w:firstLine="0"/>
            </w:pPr>
            <w:r>
              <w:rPr>
                <w:rFonts w:ascii="Noto Serif CJK SC" w:hAnsi="Noto Serif CJK SC" w:eastAsia="Noto Serif CJK SC"/>
                <w:color w:val="232323"/>
                <w:sz w:val="17"/>
              </w:rPr>
              <w:t>0.83</w:t>
            </w:r>
          </w:p>
        </w:tc>
        <w:tc>
          <w:tcPr>
            <w:tcW w:type="dxa" w:w="1058"/>
            <w:vAlign w:val="center"/>
            <w:tcMar>
              <w:top w:w="80" w:type="dxa"/>
              <w:start w:w="100" w:type="dxa"/>
              <w:bottom w:w="80" w:type="dxa"/>
              <w:end w:w="100" w:type="dxa"/>
            </w:tcMar>
          </w:tcPr>
          <w:p>
            <w:pPr>
              <w:ind w:firstLine="0"/>
            </w:pPr>
            <w:r>
              <w:rPr>
                <w:rFonts w:ascii="Noto Serif CJK SC" w:hAnsi="Noto Serif CJK SC" w:eastAsia="Noto Serif CJK SC"/>
                <w:color w:val="232323"/>
                <w:sz w:val="17"/>
              </w:rPr>
              <w:t>1.50</w:t>
            </w:r>
          </w:p>
        </w:tc>
      </w:tr>
      <w:tr>
        <w:tc>
          <w:tcPr>
            <w:tcW w:type="dxa" w:w="1058"/>
            <w:vAlign w:val="center"/>
            <w:tcMar>
              <w:top w:w="80" w:type="dxa"/>
              <w:start w:w="100" w:type="dxa"/>
              <w:bottom w:w="80" w:type="dxa"/>
              <w:end w:w="100" w:type="dxa"/>
            </w:tcMar>
          </w:tcPr>
          <w:p>
            <w:pPr>
              <w:ind w:firstLine="0"/>
            </w:pPr>
            <w:r>
              <w:rPr>
                <w:rFonts w:ascii="Noto Serif CJK SC" w:hAnsi="Noto Serif CJK SC" w:eastAsia="Noto Serif CJK SC"/>
                <w:color w:val="232323"/>
                <w:sz w:val="17"/>
              </w:rPr>
              <w:t>哀伤</w:t>
            </w:r>
          </w:p>
        </w:tc>
        <w:tc>
          <w:tcPr>
            <w:tcW w:type="dxa" w:w="1058"/>
            <w:vAlign w:val="center"/>
            <w:tcMar>
              <w:top w:w="80" w:type="dxa"/>
              <w:start w:w="100" w:type="dxa"/>
              <w:bottom w:w="80" w:type="dxa"/>
              <w:end w:w="100" w:type="dxa"/>
            </w:tcMar>
          </w:tcPr>
          <w:p>
            <w:pPr>
              <w:ind w:firstLine="0"/>
            </w:pPr>
            <w:r>
              <w:rPr>
                <w:rFonts w:ascii="Noto Serif CJK SC" w:hAnsi="Noto Serif CJK SC" w:eastAsia="Noto Serif CJK SC"/>
                <w:color w:val="232323"/>
                <w:sz w:val="17"/>
              </w:rPr>
              <w:t>0.50</w:t>
            </w:r>
          </w:p>
        </w:tc>
        <w:tc>
          <w:tcPr>
            <w:tcW w:type="dxa" w:w="1058"/>
            <w:vAlign w:val="center"/>
            <w:tcMar>
              <w:top w:w="80" w:type="dxa"/>
              <w:start w:w="100" w:type="dxa"/>
              <w:bottom w:w="80" w:type="dxa"/>
              <w:end w:w="100" w:type="dxa"/>
            </w:tcMar>
          </w:tcPr>
          <w:p>
            <w:pPr>
              <w:ind w:firstLine="0"/>
            </w:pPr>
            <w:r>
              <w:rPr>
                <w:rFonts w:ascii="Noto Serif CJK SC" w:hAnsi="Noto Serif CJK SC" w:eastAsia="Noto Serif CJK SC"/>
                <w:color w:val="232323"/>
                <w:sz w:val="17"/>
              </w:rPr>
              <w:t>1.83</w:t>
            </w:r>
          </w:p>
        </w:tc>
        <w:tc>
          <w:tcPr>
            <w:tcW w:type="dxa" w:w="1058"/>
            <w:vAlign w:val="center"/>
            <w:tcMar>
              <w:top w:w="80" w:type="dxa"/>
              <w:start w:w="100" w:type="dxa"/>
              <w:bottom w:w="80" w:type="dxa"/>
              <w:end w:w="100" w:type="dxa"/>
            </w:tcMar>
          </w:tcPr>
          <w:p>
            <w:pPr>
              <w:ind w:firstLine="0"/>
            </w:pPr>
            <w:r>
              <w:rPr>
                <w:rFonts w:ascii="Noto Serif CJK SC" w:hAnsi="Noto Serif CJK SC" w:eastAsia="Noto Serif CJK SC"/>
                <w:color w:val="232323"/>
                <w:sz w:val="17"/>
              </w:rPr>
              <w:t>1.33</w:t>
            </w:r>
          </w:p>
        </w:tc>
        <w:tc>
          <w:tcPr>
            <w:tcW w:type="dxa" w:w="1058"/>
            <w:vAlign w:val="center"/>
            <w:tcMar>
              <w:top w:w="80" w:type="dxa"/>
              <w:start w:w="100" w:type="dxa"/>
              <w:bottom w:w="80" w:type="dxa"/>
              <w:end w:w="100" w:type="dxa"/>
            </w:tcMar>
          </w:tcPr>
          <w:p>
            <w:pPr>
              <w:ind w:firstLine="0"/>
            </w:pPr>
            <w:r>
              <w:rPr>
                <w:rFonts w:ascii="Noto Serif CJK SC" w:hAnsi="Noto Serif CJK SC" w:eastAsia="Noto Serif CJK SC"/>
                <w:color w:val="232323"/>
                <w:sz w:val="17"/>
              </w:rPr>
              <w:t>1.50</w:t>
            </w:r>
          </w:p>
        </w:tc>
        <w:tc>
          <w:tcPr>
            <w:tcW w:type="dxa" w:w="1058"/>
            <w:vAlign w:val="center"/>
            <w:tcMar>
              <w:top w:w="80" w:type="dxa"/>
              <w:start w:w="100" w:type="dxa"/>
              <w:bottom w:w="80" w:type="dxa"/>
              <w:end w:w="100" w:type="dxa"/>
            </w:tcMar>
          </w:tcPr>
          <w:p>
            <w:pPr>
              <w:ind w:firstLine="0"/>
            </w:pPr>
            <w:r>
              <w:rPr>
                <w:rFonts w:ascii="Noto Serif CJK SC" w:hAnsi="Noto Serif CJK SC" w:eastAsia="Noto Serif CJK SC"/>
                <w:color w:val="232323"/>
                <w:sz w:val="17"/>
              </w:rPr>
              <w:t>0.50</w:t>
            </w:r>
          </w:p>
        </w:tc>
        <w:tc>
          <w:tcPr>
            <w:tcW w:type="dxa" w:w="1058"/>
            <w:vAlign w:val="center"/>
            <w:tcMar>
              <w:top w:w="80" w:type="dxa"/>
              <w:start w:w="100" w:type="dxa"/>
              <w:bottom w:w="80" w:type="dxa"/>
              <w:end w:w="100" w:type="dxa"/>
            </w:tcMar>
          </w:tcPr>
          <w:p>
            <w:pPr>
              <w:ind w:firstLine="0"/>
            </w:pPr>
            <w:r>
              <w:rPr>
                <w:rFonts w:ascii="Noto Serif CJK SC" w:hAnsi="Noto Serif CJK SC" w:eastAsia="Noto Serif CJK SC"/>
                <w:color w:val="232323"/>
                <w:sz w:val="17"/>
              </w:rPr>
              <w:t>0.33</w:t>
            </w:r>
          </w:p>
        </w:tc>
        <w:tc>
          <w:tcPr>
            <w:tcW w:type="dxa" w:w="1058"/>
            <w:vAlign w:val="center"/>
            <w:tcMar>
              <w:top w:w="80" w:type="dxa"/>
              <w:start w:w="100" w:type="dxa"/>
              <w:bottom w:w="80" w:type="dxa"/>
              <w:end w:w="100" w:type="dxa"/>
            </w:tcMar>
          </w:tcPr>
          <w:p>
            <w:pPr>
              <w:ind w:firstLine="0"/>
            </w:pPr>
            <w:r>
              <w:rPr>
                <w:rFonts w:ascii="Noto Serif CJK SC" w:hAnsi="Noto Serif CJK SC" w:eastAsia="Noto Serif CJK SC"/>
                <w:color w:val="232323"/>
                <w:sz w:val="17"/>
              </w:rPr>
              <w:t>0.33</w:t>
            </w:r>
          </w:p>
        </w:tc>
        <w:tc>
          <w:tcPr>
            <w:tcW w:type="dxa" w:w="1058"/>
            <w:vAlign w:val="center"/>
            <w:tcMar>
              <w:top w:w="80" w:type="dxa"/>
              <w:start w:w="100" w:type="dxa"/>
              <w:bottom w:w="80" w:type="dxa"/>
              <w:end w:w="100" w:type="dxa"/>
            </w:tcMar>
          </w:tcPr>
          <w:p>
            <w:pPr>
              <w:ind w:firstLine="0"/>
            </w:pPr>
            <w:r>
              <w:rPr>
                <w:rFonts w:ascii="Noto Serif CJK SC" w:hAnsi="Noto Serif CJK SC" w:eastAsia="Noto Serif CJK SC"/>
                <w:color w:val="232323"/>
                <w:sz w:val="17"/>
              </w:rPr>
              <w:t>2.00</w:t>
            </w:r>
          </w:p>
        </w:tc>
      </w:tr>
      <w:tr>
        <w:tc>
          <w:tcPr>
            <w:tcW w:type="dxa" w:w="1058"/>
            <w:vAlign w:val="center"/>
            <w:tcMar>
              <w:top w:w="80" w:type="dxa"/>
              <w:start w:w="100" w:type="dxa"/>
              <w:bottom w:w="80" w:type="dxa"/>
              <w:end w:w="100" w:type="dxa"/>
            </w:tcMar>
          </w:tcPr>
          <w:p>
            <w:pPr>
              <w:ind w:firstLine="0"/>
            </w:pPr>
            <w:r>
              <w:rPr>
                <w:rFonts w:ascii="Noto Serif CJK SC" w:hAnsi="Noto Serif CJK SC" w:eastAsia="Noto Serif CJK SC"/>
                <w:color w:val="232323"/>
                <w:sz w:val="17"/>
              </w:rPr>
              <w:t>倦怠</w:t>
            </w:r>
          </w:p>
        </w:tc>
        <w:tc>
          <w:tcPr>
            <w:tcW w:type="dxa" w:w="1058"/>
            <w:vAlign w:val="center"/>
            <w:tcMar>
              <w:top w:w="80" w:type="dxa"/>
              <w:start w:w="100" w:type="dxa"/>
              <w:bottom w:w="80" w:type="dxa"/>
              <w:end w:w="100" w:type="dxa"/>
            </w:tcMar>
          </w:tcPr>
          <w:p>
            <w:pPr>
              <w:ind w:firstLine="0"/>
            </w:pPr>
            <w:r>
              <w:rPr>
                <w:rFonts w:ascii="Noto Serif CJK SC" w:hAnsi="Noto Serif CJK SC" w:eastAsia="Noto Serif CJK SC"/>
                <w:color w:val="232323"/>
                <w:sz w:val="17"/>
              </w:rPr>
              <w:t>1.00</w:t>
            </w:r>
          </w:p>
        </w:tc>
        <w:tc>
          <w:tcPr>
            <w:tcW w:type="dxa" w:w="1058"/>
            <w:vAlign w:val="center"/>
            <w:tcMar>
              <w:top w:w="80" w:type="dxa"/>
              <w:start w:w="100" w:type="dxa"/>
              <w:bottom w:w="80" w:type="dxa"/>
              <w:end w:w="100" w:type="dxa"/>
            </w:tcMar>
          </w:tcPr>
          <w:p>
            <w:pPr>
              <w:ind w:firstLine="0"/>
            </w:pPr>
            <w:r>
              <w:rPr>
                <w:rFonts w:ascii="Noto Serif CJK SC" w:hAnsi="Noto Serif CJK SC" w:eastAsia="Noto Serif CJK SC"/>
                <w:color w:val="232323"/>
                <w:sz w:val="17"/>
              </w:rPr>
              <w:t>1.00</w:t>
            </w:r>
          </w:p>
        </w:tc>
        <w:tc>
          <w:tcPr>
            <w:tcW w:type="dxa" w:w="1058"/>
            <w:vAlign w:val="center"/>
            <w:tcMar>
              <w:top w:w="80" w:type="dxa"/>
              <w:start w:w="100" w:type="dxa"/>
              <w:bottom w:w="80" w:type="dxa"/>
              <w:end w:w="100" w:type="dxa"/>
            </w:tcMar>
          </w:tcPr>
          <w:p>
            <w:pPr>
              <w:ind w:firstLine="0"/>
            </w:pPr>
            <w:r>
              <w:rPr>
                <w:rFonts w:ascii="Noto Serif CJK SC" w:hAnsi="Noto Serif CJK SC" w:eastAsia="Noto Serif CJK SC"/>
                <w:color w:val="232323"/>
                <w:sz w:val="17"/>
              </w:rPr>
              <w:t>1.17</w:t>
            </w:r>
          </w:p>
        </w:tc>
        <w:tc>
          <w:tcPr>
            <w:tcW w:type="dxa" w:w="1058"/>
            <w:vAlign w:val="center"/>
            <w:tcMar>
              <w:top w:w="80" w:type="dxa"/>
              <w:start w:w="100" w:type="dxa"/>
              <w:bottom w:w="80" w:type="dxa"/>
              <w:end w:w="100" w:type="dxa"/>
            </w:tcMar>
          </w:tcPr>
          <w:p>
            <w:pPr>
              <w:ind w:firstLine="0"/>
            </w:pPr>
            <w:r>
              <w:rPr>
                <w:rFonts w:ascii="Noto Serif CJK SC" w:hAnsi="Noto Serif CJK SC" w:eastAsia="Noto Serif CJK SC"/>
                <w:color w:val="232323"/>
                <w:sz w:val="17"/>
              </w:rPr>
              <w:t>1.67</w:t>
            </w:r>
          </w:p>
        </w:tc>
        <w:tc>
          <w:tcPr>
            <w:tcW w:type="dxa" w:w="1058"/>
            <w:vAlign w:val="center"/>
            <w:tcMar>
              <w:top w:w="80" w:type="dxa"/>
              <w:start w:w="100" w:type="dxa"/>
              <w:bottom w:w="80" w:type="dxa"/>
              <w:end w:w="100" w:type="dxa"/>
            </w:tcMar>
          </w:tcPr>
          <w:p>
            <w:pPr>
              <w:ind w:firstLine="0"/>
            </w:pPr>
            <w:r>
              <w:rPr>
                <w:rFonts w:ascii="Noto Serif CJK SC" w:hAnsi="Noto Serif CJK SC" w:eastAsia="Noto Serif CJK SC"/>
                <w:color w:val="232323"/>
                <w:sz w:val="17"/>
              </w:rPr>
              <w:t>2.00</w:t>
            </w:r>
          </w:p>
        </w:tc>
        <w:tc>
          <w:tcPr>
            <w:tcW w:type="dxa" w:w="1058"/>
            <w:vAlign w:val="center"/>
            <w:tcMar>
              <w:top w:w="80" w:type="dxa"/>
              <w:start w:w="100" w:type="dxa"/>
              <w:bottom w:w="80" w:type="dxa"/>
              <w:end w:w="100" w:type="dxa"/>
            </w:tcMar>
          </w:tcPr>
          <w:p>
            <w:pPr>
              <w:ind w:firstLine="0"/>
            </w:pPr>
            <w:r>
              <w:rPr>
                <w:rFonts w:ascii="Noto Serif CJK SC" w:hAnsi="Noto Serif CJK SC" w:eastAsia="Noto Serif CJK SC"/>
                <w:color w:val="232323"/>
                <w:sz w:val="17"/>
              </w:rPr>
              <w:t>1.00</w:t>
            </w:r>
          </w:p>
        </w:tc>
        <w:tc>
          <w:tcPr>
            <w:tcW w:type="dxa" w:w="1058"/>
            <w:vAlign w:val="center"/>
            <w:tcMar>
              <w:top w:w="80" w:type="dxa"/>
              <w:start w:w="100" w:type="dxa"/>
              <w:bottom w:w="80" w:type="dxa"/>
              <w:end w:w="100" w:type="dxa"/>
            </w:tcMar>
          </w:tcPr>
          <w:p>
            <w:pPr>
              <w:ind w:firstLine="0"/>
            </w:pPr>
            <w:r>
              <w:rPr>
                <w:rFonts w:ascii="Noto Serif CJK SC" w:hAnsi="Noto Serif CJK SC" w:eastAsia="Noto Serif CJK SC"/>
                <w:color w:val="232323"/>
                <w:sz w:val="17"/>
              </w:rPr>
              <w:t>1.00</w:t>
            </w:r>
          </w:p>
        </w:tc>
        <w:tc>
          <w:tcPr>
            <w:tcW w:type="dxa" w:w="1058"/>
            <w:vAlign w:val="center"/>
            <w:tcMar>
              <w:top w:w="80" w:type="dxa"/>
              <w:start w:w="100" w:type="dxa"/>
              <w:bottom w:w="80" w:type="dxa"/>
              <w:end w:w="100" w:type="dxa"/>
            </w:tcMar>
          </w:tcPr>
          <w:p>
            <w:pPr>
              <w:ind w:firstLine="0"/>
            </w:pPr>
            <w:r>
              <w:rPr>
                <w:rFonts w:ascii="Noto Serif CJK SC" w:hAnsi="Noto Serif CJK SC" w:eastAsia="Noto Serif CJK SC"/>
                <w:color w:val="232323"/>
                <w:sz w:val="17"/>
              </w:rPr>
              <w:t>1.67</w:t>
            </w:r>
          </w:p>
        </w:tc>
      </w:tr>
      <w:tr>
        <w:tc>
          <w:tcPr>
            <w:tcW w:type="dxa" w:w="1058"/>
            <w:vAlign w:val="center"/>
            <w:tcMar>
              <w:top w:w="80" w:type="dxa"/>
              <w:start w:w="100" w:type="dxa"/>
              <w:bottom w:w="80" w:type="dxa"/>
              <w:end w:w="100" w:type="dxa"/>
            </w:tcMar>
          </w:tcPr>
          <w:p>
            <w:pPr>
              <w:ind w:firstLine="0"/>
            </w:pPr>
            <w:r>
              <w:rPr>
                <w:rFonts w:ascii="Noto Serif CJK SC" w:hAnsi="Noto Serif CJK SC" w:eastAsia="Noto Serif CJK SC"/>
                <w:color w:val="232323"/>
                <w:sz w:val="17"/>
              </w:rPr>
              <w:t>关系破裂</w:t>
            </w:r>
          </w:p>
        </w:tc>
        <w:tc>
          <w:tcPr>
            <w:tcW w:type="dxa" w:w="1058"/>
            <w:vAlign w:val="center"/>
            <w:tcMar>
              <w:top w:w="80" w:type="dxa"/>
              <w:start w:w="100" w:type="dxa"/>
              <w:bottom w:w="80" w:type="dxa"/>
              <w:end w:w="100" w:type="dxa"/>
            </w:tcMar>
          </w:tcPr>
          <w:p>
            <w:pPr>
              <w:ind w:firstLine="0"/>
            </w:pPr>
            <w:r>
              <w:rPr>
                <w:rFonts w:ascii="Noto Serif CJK SC" w:hAnsi="Noto Serif CJK SC" w:eastAsia="Noto Serif CJK SC"/>
                <w:color w:val="232323"/>
                <w:sz w:val="17"/>
              </w:rPr>
              <w:t>1.33</w:t>
            </w:r>
          </w:p>
        </w:tc>
        <w:tc>
          <w:tcPr>
            <w:tcW w:type="dxa" w:w="1058"/>
            <w:vAlign w:val="center"/>
            <w:tcMar>
              <w:top w:w="80" w:type="dxa"/>
              <w:start w:w="100" w:type="dxa"/>
              <w:bottom w:w="80" w:type="dxa"/>
              <w:end w:w="100" w:type="dxa"/>
            </w:tcMar>
          </w:tcPr>
          <w:p>
            <w:pPr>
              <w:ind w:firstLine="0"/>
            </w:pPr>
            <w:r>
              <w:rPr>
                <w:rFonts w:ascii="Noto Serif CJK SC" w:hAnsi="Noto Serif CJK SC" w:eastAsia="Noto Serif CJK SC"/>
                <w:color w:val="232323"/>
                <w:sz w:val="17"/>
              </w:rPr>
              <w:t>2.00</w:t>
            </w:r>
          </w:p>
        </w:tc>
        <w:tc>
          <w:tcPr>
            <w:tcW w:type="dxa" w:w="1058"/>
            <w:vAlign w:val="center"/>
            <w:tcMar>
              <w:top w:w="80" w:type="dxa"/>
              <w:start w:w="100" w:type="dxa"/>
              <w:bottom w:w="80" w:type="dxa"/>
              <w:end w:w="100" w:type="dxa"/>
            </w:tcMar>
          </w:tcPr>
          <w:p>
            <w:pPr>
              <w:ind w:firstLine="0"/>
            </w:pPr>
            <w:r>
              <w:rPr>
                <w:rFonts w:ascii="Noto Serif CJK SC" w:hAnsi="Noto Serif CJK SC" w:eastAsia="Noto Serif CJK SC"/>
                <w:color w:val="232323"/>
                <w:sz w:val="17"/>
              </w:rPr>
              <w:t>1.83</w:t>
            </w:r>
          </w:p>
        </w:tc>
        <w:tc>
          <w:tcPr>
            <w:tcW w:type="dxa" w:w="1058"/>
            <w:vAlign w:val="center"/>
            <w:tcMar>
              <w:top w:w="80" w:type="dxa"/>
              <w:start w:w="100" w:type="dxa"/>
              <w:bottom w:w="80" w:type="dxa"/>
              <w:end w:w="100" w:type="dxa"/>
            </w:tcMar>
          </w:tcPr>
          <w:p>
            <w:pPr>
              <w:ind w:firstLine="0"/>
            </w:pPr>
            <w:r>
              <w:rPr>
                <w:rFonts w:ascii="Noto Serif CJK SC" w:hAnsi="Noto Serif CJK SC" w:eastAsia="Noto Serif CJK SC"/>
                <w:color w:val="232323"/>
                <w:sz w:val="17"/>
              </w:rPr>
              <w:t>1.83</w:t>
            </w:r>
          </w:p>
        </w:tc>
        <w:tc>
          <w:tcPr>
            <w:tcW w:type="dxa" w:w="1058"/>
            <w:vAlign w:val="center"/>
            <w:tcMar>
              <w:top w:w="80" w:type="dxa"/>
              <w:start w:w="100" w:type="dxa"/>
              <w:bottom w:w="80" w:type="dxa"/>
              <w:end w:w="100" w:type="dxa"/>
            </w:tcMar>
          </w:tcPr>
          <w:p>
            <w:pPr>
              <w:ind w:firstLine="0"/>
            </w:pPr>
            <w:r>
              <w:rPr>
                <w:rFonts w:ascii="Noto Serif CJK SC" w:hAnsi="Noto Serif CJK SC" w:eastAsia="Noto Serif CJK SC"/>
                <w:color w:val="232323"/>
                <w:sz w:val="17"/>
              </w:rPr>
              <w:t>1.67</w:t>
            </w:r>
          </w:p>
        </w:tc>
        <w:tc>
          <w:tcPr>
            <w:tcW w:type="dxa" w:w="1058"/>
            <w:vAlign w:val="center"/>
            <w:tcMar>
              <w:top w:w="80" w:type="dxa"/>
              <w:start w:w="100" w:type="dxa"/>
              <w:bottom w:w="80" w:type="dxa"/>
              <w:end w:w="100" w:type="dxa"/>
            </w:tcMar>
          </w:tcPr>
          <w:p>
            <w:pPr>
              <w:ind w:firstLine="0"/>
            </w:pPr>
            <w:r>
              <w:rPr>
                <w:rFonts w:ascii="Noto Serif CJK SC" w:hAnsi="Noto Serif CJK SC" w:eastAsia="Noto Serif CJK SC"/>
                <w:color w:val="232323"/>
                <w:sz w:val="17"/>
              </w:rPr>
              <w:t>1.33</w:t>
            </w:r>
          </w:p>
        </w:tc>
        <w:tc>
          <w:tcPr>
            <w:tcW w:type="dxa" w:w="1058"/>
            <w:vAlign w:val="center"/>
            <w:tcMar>
              <w:top w:w="80" w:type="dxa"/>
              <w:start w:w="100" w:type="dxa"/>
              <w:bottom w:w="80" w:type="dxa"/>
              <w:end w:w="100" w:type="dxa"/>
            </w:tcMar>
          </w:tcPr>
          <w:p>
            <w:pPr>
              <w:ind w:firstLine="0"/>
            </w:pPr>
            <w:r>
              <w:rPr>
                <w:rFonts w:ascii="Noto Serif CJK SC" w:hAnsi="Noto Serif CJK SC" w:eastAsia="Noto Serif CJK SC"/>
                <w:color w:val="232323"/>
                <w:sz w:val="17"/>
              </w:rPr>
              <w:t>1.50</w:t>
            </w:r>
          </w:p>
        </w:tc>
        <w:tc>
          <w:tcPr>
            <w:tcW w:type="dxa" w:w="1058"/>
            <w:vAlign w:val="center"/>
            <w:tcMar>
              <w:top w:w="80" w:type="dxa"/>
              <w:start w:w="100" w:type="dxa"/>
              <w:bottom w:w="80" w:type="dxa"/>
              <w:end w:w="100" w:type="dxa"/>
            </w:tcMar>
          </w:tcPr>
          <w:p>
            <w:pPr>
              <w:ind w:firstLine="0"/>
            </w:pPr>
            <w:r>
              <w:rPr>
                <w:rFonts w:ascii="Noto Serif CJK SC" w:hAnsi="Noto Serif CJK SC" w:eastAsia="Noto Serif CJK SC"/>
                <w:color w:val="232323"/>
                <w:sz w:val="17"/>
              </w:rPr>
              <w:t>2.00</w:t>
            </w:r>
          </w:p>
        </w:tc>
      </w:tr>
    </w:tbl>
    <w:p>
      <w:r>
        <w:t>解释：哀伤突出的是 D，而不是 F/ρ；倦怠突出 F；抑郁/复发突出 ρ；部分关系破裂突出 M、D 与 R。也就是说，这些量至少没有在探索样本中重新合并成一个“心理严重程度”总分。该结果不能作为统计证明：样本小、编码者单一、平台存在选择偏差，且论坛叙事不适合严格估计 r_gen。</w:t>
      </w:r>
    </w:p>
    <w:tbl>
      <w:tblPr>
        <w:tblW w:type="auto" w:w="0"/>
        <w:jc w:val="center"/>
        <w:tblLook w:firstColumn="1" w:firstRow="1" w:lastColumn="0" w:lastRow="0" w:noHBand="0" w:noVBand="1" w:val="04A0"/>
      </w:tblPr>
      <w:tblGrid>
        <w:gridCol w:w="9519"/>
      </w:tblGrid>
      <w:tr>
        <w:tc>
          <w:tcPr>
            <w:tcW w:type="dxa" w:w="9519"/>
            <w:shd w:fill="F3F7FA"/>
            <w:tcMar>
              <w:top w:w="120" w:type="dxa"/>
              <w:start w:w="160" w:type="dxa"/>
              <w:bottom w:w="120" w:type="dxa"/>
              <w:end w:w="160" w:type="dxa"/>
            </w:tcMar>
          </w:tcPr>
          <w:p>
            <w:pPr>
              <w:ind w:firstLine="0"/>
            </w:pPr>
            <w:r>
              <w:rPr>
                <w:rFonts w:ascii="Noto Sans CJK SC" w:hAnsi="Noto Sans CJK SC" w:eastAsia="Noto Sans CJK SC"/>
                <w:b/>
                <w:color w:val="1F364E"/>
                <w:sz w:val="20"/>
              </w:rPr>
              <w:t xml:space="preserve">隐私处理  </w:t>
            </w:r>
            <w:r>
              <w:rPr>
                <w:rFonts w:ascii="Noto Serif CJK SC" w:hAnsi="Noto Serif CJK SC" w:eastAsia="Noto Serif CJK SC"/>
                <w:color w:val="232323"/>
                <w:sz w:val="19"/>
              </w:rPr>
              <w:t>最终报告不公布用户名、头像、具体地点和可识别人生细节，也不长段复制帖子。原始公开来源只在研究过程日志中用于核验；本报告只保留匿名聚合结构。</w:t>
            </w:r>
          </w:p>
        </w:tc>
      </w:tr>
    </w:tbl>
    <w:p>
      <w:pPr>
        <w:pStyle w:val="Heading1"/>
        <w:keepNext/>
        <w:keepLines/>
      </w:pPr>
      <w:r>
        <w:t>10. 年龄与文化：权重矩阵而非普世固定内容</w:t>
      </w:r>
    </w:p>
    <w:p>
      <w:r>
        <w:t>最后一轮外部扰动把年龄和地域/文化加入模型。结果并未支持“年纪越大、痕迹越多、所以越闭合”，也没有支持“变化越多越健康”。年龄与文化更适合作为关系权重和可用策略条件，而不是修改母机制本身。</w:t>
      </w:r>
    </w:p>
    <w:p>
      <w:pPr>
        <w:pStyle w:val="Heading2"/>
        <w:keepNext/>
        <w:keepLines/>
      </w:pPr>
      <w:r>
        <w:t>10.1 年龄：痕迹多不等于住在痕迹上</w:t>
      </w:r>
    </w:p>
    <w:p>
      <w:pPr>
        <w:pStyle w:val="ListBullet"/>
        <w:ind w:firstLine="0" w:left="425"/>
      </w:pPr>
      <w:r>
        <w:rPr>
          <w:rFonts w:ascii="Noto Serif CJK SC" w:hAnsi="Noto Serif CJK SC" w:eastAsia="Noto Serif CJK SC"/>
          <w:color w:val="232323"/>
          <w:sz w:val="20"/>
        </w:rPr>
        <w:t>11–89岁队列中，青少年相对成年人和老年人表现出更高不确定性不耐受、更低心理灵活性 [R17]。</w:t>
      </w:r>
    </w:p>
    <w:p>
      <w:pPr>
        <w:pStyle w:val="ListBullet"/>
        <w:ind w:firstLine="0" w:left="425"/>
      </w:pPr>
      <w:r>
        <w:rPr>
          <w:rFonts w:ascii="Noto Serif CJK SC" w:hAnsi="Noto Serif CJK SC" w:eastAsia="Noto Serif CJK SC"/>
          <w:color w:val="232323"/>
          <w:sz w:val="20"/>
        </w:rPr>
        <w:t>18–81岁日常情绪调节研究中，策略变化随年龄下降，而较低的变化反而与更好well-being相关 [R18]。这直接否定“变化数量越多越健康”。</w:t>
      </w:r>
    </w:p>
    <w:p>
      <w:pPr>
        <w:pStyle w:val="ListBullet"/>
        <w:ind w:firstLine="0" w:left="425"/>
      </w:pPr>
      <w:r>
        <w:rPr>
          <w:rFonts w:ascii="Noto Serif CJK SC" w:hAnsi="Noto Serif CJK SC" w:eastAsia="Noto Serif CJK SC"/>
          <w:color w:val="232323"/>
          <w:sz w:val="20"/>
        </w:rPr>
        <w:t>65岁以上16国、93,263人纵向数据中，爱好参与与较少抑郁症状、更高幸福感、生活满意度和自评健康相关 [R19]，说明“生成新关系”的可能性并非年轻人专属。</w:t>
      </w:r>
    </w:p>
    <w:p>
      <w:pPr>
        <w:pStyle w:val="Heading2"/>
        <w:keepNext/>
        <w:keepLines/>
      </w:pPr>
      <w:r>
        <w:t>10.2 文化：同一循环行为不必有相同心理重量</w:t>
      </w:r>
    </w:p>
    <w:p>
      <w:pPr>
        <w:pStyle w:val="ListBullet"/>
        <w:ind w:firstLine="0" w:left="425"/>
      </w:pPr>
      <w:r>
        <w:rPr>
          <w:rFonts w:ascii="Noto Serif CJK SC" w:hAnsi="Noto Serif CJK SC" w:eastAsia="Noto Serif CJK SC"/>
          <w:color w:val="232323"/>
          <w:sz w:val="20"/>
        </w:rPr>
        <w:t>英国与印度尼西亚18–91岁样本显示年龄—抑郁/焦虑轨迹随国家呈不同非线性形状 [R20]。</w:t>
      </w:r>
    </w:p>
    <w:p>
      <w:pPr>
        <w:pStyle w:val="ListBullet"/>
        <w:ind w:firstLine="0" w:left="425"/>
      </w:pPr>
      <w:r>
        <w:rPr>
          <w:rFonts w:ascii="Noto Serif CJK SC" w:hAnsi="Noto Serif CJK SC" w:eastAsia="Noto Serif CJK SC"/>
          <w:color w:val="232323"/>
          <w:sz w:val="20"/>
        </w:rPr>
        <w:t>英国与韩国65岁以上纵向网络中，英国男性的自主功能更中心，韩国样本尤其女性的社会接触更中心 [R21]。</w:t>
      </w:r>
    </w:p>
    <w:p>
      <w:pPr>
        <w:pStyle w:val="ListBullet"/>
        <w:ind w:firstLine="0" w:left="425"/>
      </w:pPr>
      <w:r>
        <w:rPr>
          <w:rFonts w:ascii="Noto Serif CJK SC" w:hAnsi="Noto Serif CJK SC" w:eastAsia="Noto Serif CJK SC"/>
          <w:color w:val="232323"/>
          <w:sz w:val="20"/>
        </w:rPr>
        <w:t>跨文化反刍Meta分析发现东方样本平均反刍更多，但反刍与抑郁的关系可能更弱 [R22]；2026系统综述进一步指出社会支持、自我怀疑归因等路径存在文化条件 [R23]。</w:t>
      </w:r>
    </w:p>
    <w:p>
      <w:pPr>
        <w:pStyle w:val="ListBullet"/>
        <w:ind w:firstLine="0" w:left="425"/>
      </w:pPr>
      <w:r>
        <w:rPr>
          <w:rFonts w:ascii="Noto Serif CJK SC" w:hAnsi="Noto Serif CJK SC" w:eastAsia="Noto Serif CJK SC"/>
          <w:color w:val="232323"/>
          <w:sz w:val="20"/>
        </w:rPr>
        <w:t>中国与印度尼西亚18–25岁样本中，自我概念清晰度都可正向关联人生目的与well-being [R24]。稳定清晰的自我本身不是病理。</w:t>
      </w:r>
    </w:p>
    <w:p>
      <w:pPr>
        <w:pStyle w:val="ListBullet"/>
        <w:ind w:firstLine="0" w:left="425"/>
      </w:pPr>
      <w:r>
        <w:rPr>
          <w:rFonts w:ascii="Noto Serif CJK SC" w:hAnsi="Noto Serif CJK SC" w:eastAsia="Noto Serif CJK SC"/>
          <w:color w:val="232323"/>
          <w:sz w:val="20"/>
        </w:rPr>
        <w:t>Global Flourishing Study覆盖22国、202,898人，抑郁/焦虑症状比例及其与人口学变量的关系具有显著跨国异质性 [R25][R26]。</w:t>
      </w:r>
    </w:p>
    <w:p>
      <w:pPr>
        <w:pStyle w:val="Equation"/>
      </w:pPr>
      <w:r>
        <w:rPr>
          <w:rFonts w:ascii="FreeSerif" w:hAnsi="FreeSerif" w:eastAsia="FreeSerif"/>
          <w:color w:val="232323"/>
          <w:sz w:val="21"/>
        </w:rPr>
        <w:t>D²ₐ,꜀ = (x − r)ᵀ Wₐ,꜀ (x − r)</w:t>
      </w:r>
    </w:p>
    <w:p>
      <w:r>
        <w:t>Wₐ,꜀ 因年龄阶段、文化关系、身体能力、社会角色与现实资源而变化。母机制可以相同，但“什么最重要”“什么算巨大偏离”不会在所有人、所有年龄、所有国家中保持同一数值。</w:t>
      </w:r>
    </w:p>
    <w:p>
      <w:pPr>
        <w:pStyle w:val="Heading1"/>
        <w:keepNext/>
        <w:keepLines/>
      </w:pPr>
      <w:r>
        <w:t>11. 与基础物理研究的共同母结构</w:t>
      </w:r>
    </w:p>
    <w:p>
      <w:r>
        <w:t>心理学与物理研究的连接必须限定为“共同数学结构”，不能写成“心理时间=物理时间”或“Mori–Zwanzig就是人的记忆”。基础研究已经冻结了一个严格投影恒等式：</w:t>
      </w:r>
    </w:p>
    <w:p>
      <w:pPr>
        <w:pStyle w:val="Equation"/>
      </w:pPr>
      <w:r>
        <w:rPr>
          <w:rFonts w:ascii="FreeSerif" w:hAnsi="FreeSerif" w:eastAsia="FreeSerif"/>
          <w:color w:val="232323"/>
          <w:sz w:val="21"/>
        </w:rPr>
        <w:t>Φₛ = P Uₛ P，Q = I − P</w:t>
      </w:r>
    </w:p>
    <w:p>
      <w:pPr>
        <w:pStyle w:val="Equation"/>
      </w:pPr>
      <w:r>
        <w:rPr>
          <w:rFonts w:ascii="FreeSerif" w:hAnsi="FreeSerif" w:eastAsia="FreeSerif"/>
          <w:color w:val="232323"/>
          <w:sz w:val="21"/>
        </w:rPr>
        <w:t>Φₛ₊ₜ − ΦₛΦₜ = P Uₛ Q Uₜ P</w:t>
      </w:r>
    </w:p>
    <w:p>
      <w:r>
        <w:t>右侧表示：局部截取 P 没有包含的部分进入未解析扇区 Q 后，仍可重新返回 P，从而造成局部复合缺陷、历史依赖与记忆。该恒等式只直接证明局部历史依赖，并不能单独证明热力学时间箭头。</w:t>
      </w:r>
    </w:p>
    <w:tbl>
      <w:tblPr>
        <w:tblW w:type="auto" w:w="0"/>
        <w:jc w:val="center"/>
        <w:tblLook w:firstColumn="1" w:firstRow="1" w:lastColumn="0" w:lastRow="0" w:noHBand="0" w:noVBand="1" w:val="04A0"/>
      </w:tblPr>
      <w:tblGrid>
        <w:gridCol w:w="9519"/>
      </w:tblGrid>
      <w:tr>
        <w:tc>
          <w:tcPr>
            <w:tcW w:type="dxa" w:w="9519"/>
            <w:shd w:fill="F3F7FA"/>
            <w:tcMar>
              <w:top w:w="120" w:type="dxa"/>
              <w:start w:w="160" w:type="dxa"/>
              <w:bottom w:w="120" w:type="dxa"/>
              <w:end w:w="160" w:type="dxa"/>
            </w:tcMar>
          </w:tcPr>
          <w:p>
            <w:pPr>
              <w:ind w:firstLine="0"/>
            </w:pPr>
            <w:r>
              <w:rPr>
                <w:rFonts w:ascii="Noto Sans CJK SC" w:hAnsi="Noto Sans CJK SC" w:eastAsia="Noto Sans CJK SC"/>
                <w:b/>
                <w:color w:val="1F364E"/>
                <w:sz w:val="20"/>
              </w:rPr>
              <w:t xml:space="preserve">共同母结构  </w:t>
            </w:r>
            <w:r>
              <w:rPr>
                <w:rFonts w:ascii="Noto Serif CJK SC" w:hAnsi="Noto Serif CJK SC" w:eastAsia="Noto Serif CJK SC"/>
                <w:color w:val="232323"/>
                <w:sz w:val="19"/>
              </w:rPr>
              <w:t>发生 → 局部截取 → 未纳入余量 → 余量重新进入后续。物理层可以读成粗粒化后的memory/non-Markovian history；心理层可以读成痕迹、旧参照、心理时间与回捕。两者结构同型，不等于已经证明机制同一。</w:t>
            </w:r>
          </w:p>
        </w:tc>
      </w:tr>
    </w:tbl>
    <w:p>
      <w:pPr>
        <w:pStyle w:val="Heading1"/>
        <w:keepNext/>
        <w:keepLines/>
      </w:pPr>
      <w:r>
        <w:t>12. 失败路线、反例与理论修正</w:t>
      </w:r>
    </w:p>
    <w:tbl>
      <w:tblPr>
        <w:tblStyle w:val="TableGrid"/>
        <w:tblW w:type="auto" w:w="0"/>
        <w:jc w:val="center"/>
        <w:tblLook w:firstColumn="1" w:firstRow="1" w:lastColumn="0" w:lastRow="0" w:noHBand="0" w:noVBand="1" w:val="04A0"/>
      </w:tblPr>
      <w:tblGrid>
        <w:gridCol w:w="3173"/>
        <w:gridCol w:w="3173"/>
        <w:gridCol w:w="3173"/>
      </w:tblGrid>
      <w:tr>
        <w:tc>
          <w:tcPr>
            <w:tcW w:type="dxa" w:w="3173"/>
            <w:shd w:fill="EAF0F5"/>
            <w:vAlign w:val="center"/>
            <w:tcMar>
              <w:top w:w="80" w:type="dxa"/>
              <w:start w:w="100" w:type="dxa"/>
              <w:bottom w:w="80" w:type="dxa"/>
              <w:end w:w="100" w:type="dxa"/>
            </w:tcMar>
          </w:tcPr>
          <w:p>
            <w:pPr>
              <w:jc w:val="center"/>
            </w:pPr>
            <w:r>
              <w:rPr>
                <w:rFonts w:ascii="Noto Sans CJK SC" w:hAnsi="Noto Sans CJK SC" w:eastAsia="Noto Sans CJK SC"/>
                <w:b/>
                <w:color w:val="1F364E"/>
                <w:sz w:val="16"/>
              </w:rPr>
              <w:t>被否掉/削弱的版本</w:t>
            </w:r>
          </w:p>
        </w:tc>
        <w:tc>
          <w:tcPr>
            <w:tcW w:type="dxa" w:w="3173"/>
            <w:shd w:fill="EAF0F5"/>
            <w:vAlign w:val="center"/>
            <w:tcMar>
              <w:top w:w="80" w:type="dxa"/>
              <w:start w:w="100" w:type="dxa"/>
              <w:bottom w:w="80" w:type="dxa"/>
              <w:end w:w="100" w:type="dxa"/>
            </w:tcMar>
          </w:tcPr>
          <w:p>
            <w:pPr>
              <w:jc w:val="center"/>
            </w:pPr>
            <w:r>
              <w:rPr>
                <w:rFonts w:ascii="Noto Sans CJK SC" w:hAnsi="Noto Sans CJK SC" w:eastAsia="Noto Sans CJK SC"/>
                <w:b/>
                <w:color w:val="1F364E"/>
                <w:sz w:val="16"/>
              </w:rPr>
              <w:t>为什么不成立</w:t>
            </w:r>
          </w:p>
        </w:tc>
        <w:tc>
          <w:tcPr>
            <w:tcW w:type="dxa" w:w="3173"/>
            <w:shd w:fill="EAF0F5"/>
            <w:vAlign w:val="center"/>
            <w:tcMar>
              <w:top w:w="80" w:type="dxa"/>
              <w:start w:w="100" w:type="dxa"/>
              <w:bottom w:w="80" w:type="dxa"/>
              <w:end w:w="100" w:type="dxa"/>
            </w:tcMar>
          </w:tcPr>
          <w:p>
            <w:pPr>
              <w:jc w:val="center"/>
            </w:pPr>
            <w:r>
              <w:rPr>
                <w:rFonts w:ascii="Noto Sans CJK SC" w:hAnsi="Noto Sans CJK SC" w:eastAsia="Noto Sans CJK SC"/>
                <w:b/>
                <w:color w:val="1F364E"/>
                <w:sz w:val="16"/>
              </w:rPr>
              <w:t>留下的修正</w:t>
            </w:r>
          </w:p>
        </w:tc>
      </w:tr>
      <w:tr>
        <w:tc>
          <w:tcPr>
            <w:tcW w:type="dxa" w:w="3173"/>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“所有抑郁都来自固定自我”</w:t>
            </w:r>
          </w:p>
        </w:tc>
        <w:tc>
          <w:tcPr>
            <w:tcW w:type="dxa" w:w="3173"/>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存在无明显身份语言却有威胁泛化、睡眠/生物/创伤通道</w:t>
            </w:r>
          </w:p>
        </w:tc>
        <w:tc>
          <w:tcPr>
            <w:tcW w:type="dxa" w:w="3173"/>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升级为一般“关系约束本体化”</w:t>
            </w:r>
          </w:p>
        </w:tc>
      </w:tr>
      <w:tr>
        <w:tc>
          <w:tcPr>
            <w:tcW w:type="dxa" w:w="3173"/>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“时间=记忆差值”</w:t>
            </w:r>
          </w:p>
        </w:tc>
        <w:tc>
          <w:tcPr>
            <w:tcW w:type="dxa" w:w="3173"/>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纯差值不能解释“这是我的过去”与抵抗</w:t>
            </w:r>
          </w:p>
        </w:tc>
        <w:tc>
          <w:tcPr>
            <w:tcW w:type="dxa" w:w="3173"/>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心理时间需痕迹+同一主体再识别+比较；痛苦还需约束权</w:t>
            </w:r>
          </w:p>
        </w:tc>
      </w:tr>
      <w:tr>
        <w:tc>
          <w:tcPr>
            <w:tcW w:type="dxa" w:w="3173"/>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“心理时间就是物理时间”</w:t>
            </w:r>
          </w:p>
        </w:tc>
        <w:tc>
          <w:tcPr>
            <w:tcW w:type="dxa" w:w="3173"/>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跨层类型错误</w:t>
            </w:r>
          </w:p>
        </w:tc>
        <w:tc>
          <w:tcPr>
            <w:tcW w:type="dxa" w:w="3173"/>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只保留投影—历史反馈的共同数学结构</w:t>
            </w:r>
          </w:p>
        </w:tc>
      </w:tr>
      <w:tr>
        <w:tc>
          <w:tcPr>
            <w:tcW w:type="dxa" w:w="3173"/>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“越灵活/策略越多越健康”</w:t>
            </w:r>
          </w:p>
        </w:tc>
        <w:tc>
          <w:tcPr>
            <w:tcW w:type="dxa" w:w="3173"/>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年龄研究出现相反结果</w:t>
            </w:r>
          </w:p>
        </w:tc>
        <w:tc>
          <w:tcPr>
            <w:tcW w:type="dxa" w:w="3173"/>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测情境适配与独立响应维度，而非变化数量</w:t>
            </w:r>
          </w:p>
        </w:tc>
      </w:tr>
      <w:tr>
        <w:tc>
          <w:tcPr>
            <w:tcW w:type="dxa" w:w="3173"/>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“自我越稳定越病”</w:t>
            </w:r>
          </w:p>
        </w:tc>
        <w:tc>
          <w:tcPr>
            <w:tcW w:type="dxa" w:w="3173"/>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跨文化与SCC研究显示稳定自我可支持well-being</w:t>
            </w:r>
          </w:p>
        </w:tc>
        <w:tc>
          <w:tcPr>
            <w:tcW w:type="dxa" w:w="3173"/>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区分自我清晰/连续与本体化控制权</w:t>
            </w:r>
          </w:p>
        </w:tc>
      </w:tr>
      <w:tr>
        <w:tc>
          <w:tcPr>
            <w:tcW w:type="dxa" w:w="3173"/>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“爱好=活动/快乐”</w:t>
            </w:r>
          </w:p>
        </w:tc>
        <w:tc>
          <w:tcPr>
            <w:tcW w:type="dxa" w:w="3173"/>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大量活动可被治疗任务收编，且活动效果不同</w:t>
            </w:r>
          </w:p>
        </w:tc>
        <w:tc>
          <w:tcPr>
            <w:tcW w:type="dxa" w:w="3173"/>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测是否产生自发后续关系与新行动维度</w:t>
            </w:r>
          </w:p>
        </w:tc>
      </w:tr>
      <w:tr>
        <w:tc>
          <w:tcPr>
            <w:tcW w:type="dxa" w:w="3173"/>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“论坛案例已验证相变/有效秩”</w:t>
            </w:r>
          </w:p>
        </w:tc>
        <w:tc>
          <w:tcPr>
            <w:tcW w:type="dxa" w:w="3173"/>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公开叙事无法控制输入、无法画严格滞后环</w:t>
            </w:r>
          </w:p>
        </w:tc>
        <w:tc>
          <w:tcPr>
            <w:tcW w:type="dxa" w:w="3173"/>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只作为qualitative holdout；核心仍待正式实验</w:t>
            </w:r>
          </w:p>
        </w:tc>
      </w:tr>
    </w:tbl>
    <w:p>
      <w:pPr>
        <w:pStyle w:val="Heading1"/>
        <w:keepNext/>
        <w:keepLines/>
      </w:pPr>
      <w:r>
        <w:t>13. 冻结预测、正式实验协议与判死标准</w:t>
      </w:r>
    </w:p>
    <w:p>
      <w:pPr>
        <w:pStyle w:val="Heading2"/>
        <w:keepNext/>
        <w:keepLines/>
      </w:pPr>
      <w:r>
        <w:t>13.1 最终冻结预测</w:t>
      </w:r>
    </w:p>
    <w:p>
      <w:pPr>
        <w:pStyle w:val="ListNumber"/>
        <w:ind w:firstLine="0"/>
      </w:pPr>
      <w:r>
        <w:rPr>
          <w:rFonts w:ascii="Noto Serif CJK SC" w:hAnsi="Noto Serif CJK SC" w:eastAsia="Noto Serif CJK SC"/>
          <w:color w:val="232323"/>
          <w:sz w:val="20"/>
        </w:rPr>
        <w:t>P1：同样的当前症状分数下，关系约束权 Λ、回捕率 ρ 和发生有效秩 r_gen 的差异应预测不同长期病程。</w:t>
      </w:r>
    </w:p>
    <w:p>
      <w:pPr>
        <w:pStyle w:val="ListNumber"/>
        <w:ind w:firstLine="0"/>
      </w:pPr>
      <w:r>
        <w:rPr>
          <w:rFonts w:ascii="Noto Serif CJK SC" w:hAnsi="Noto Serif CJK SC" w:eastAsia="Noto Serif CJK SC"/>
          <w:color w:val="232323"/>
          <w:sz w:val="20"/>
        </w:rPr>
        <w:t>P2：不同现实输入越被同一高权重约束“收编”，其响应向量越趋于共线，r_gen 下降；该下降应在部分个体中早于临床症状显著恶化。</w:t>
      </w:r>
    </w:p>
    <w:p>
      <w:pPr>
        <w:pStyle w:val="ListNumber"/>
        <w:ind w:firstLine="0"/>
      </w:pPr>
      <w:r>
        <w:rPr>
          <w:rFonts w:ascii="Noto Serif CJK SC" w:hAnsi="Noto Serif CJK SC" w:eastAsia="Noto Serif CJK SC"/>
          <w:color w:val="232323"/>
          <w:sz w:val="20"/>
        </w:rPr>
        <w:t>P3：即时更新率与延迟保持必须分开；高风险个体可先被积极现实改动，但随后出现更高反转/回捕。</w:t>
      </w:r>
    </w:p>
    <w:p>
      <w:pPr>
        <w:pStyle w:val="ListNumber"/>
        <w:ind w:firstLine="0"/>
      </w:pPr>
      <w:r>
        <w:rPr>
          <w:rFonts w:ascii="Noto Serif CJK SC" w:hAnsi="Noto Serif CJK SC" w:eastAsia="Noto Serif CJK SC"/>
          <w:color w:val="232323"/>
          <w:sz w:val="20"/>
        </w:rPr>
        <w:t>P4：心理时间差 D 不等于痛苦；在事件严重度相近时，Λ 较高者的瞬时摩擦 P 应更高。</w:t>
      </w:r>
    </w:p>
    <w:p>
      <w:pPr>
        <w:pStyle w:val="ListNumber"/>
        <w:ind w:firstLine="0"/>
      </w:pPr>
      <w:r>
        <w:rPr>
          <w:rFonts w:ascii="Noto Serif CJK SC" w:hAnsi="Noto Serif CJK SC" w:eastAsia="Noto Serif CJK SC"/>
          <w:color w:val="232323"/>
          <w:sz w:val="20"/>
        </w:rPr>
        <w:t>P5：累计疲劳 F 更应与持续控制成本相关，而非仅与一次负性情绪峰值相关。</w:t>
      </w:r>
    </w:p>
    <w:p>
      <w:pPr>
        <w:pStyle w:val="ListNumber"/>
        <w:ind w:firstLine="0"/>
      </w:pPr>
      <w:r>
        <w:rPr>
          <w:rFonts w:ascii="Noto Serif CJK SC" w:hAnsi="Noto Serif CJK SC" w:eastAsia="Noto Serif CJK SC"/>
          <w:color w:val="232323"/>
          <w:sz w:val="20"/>
        </w:rPr>
        <w:t>P6：恢复不应只表现为症状下降；真正结构恢复应出现 r_gen 上升、ρ下降、更多自发后续关系/行动出生。</w:t>
      </w:r>
    </w:p>
    <w:p>
      <w:pPr>
        <w:pStyle w:val="ListNumber"/>
        <w:ind w:firstLine="0"/>
      </w:pPr>
      <w:r>
        <w:rPr>
          <w:rFonts w:ascii="Noto Serif CJK SC" w:hAnsi="Noto Serif CJK SC" w:eastAsia="Noto Serif CJK SC"/>
          <w:color w:val="232323"/>
          <w:sz w:val="20"/>
        </w:rPr>
        <w:t>P7：年龄与文化主要改变 W、可用路径和关系权重，而不要求更换母机制。</w:t>
      </w:r>
    </w:p>
    <w:p>
      <w:pPr>
        <w:pStyle w:val="ListNumber"/>
        <w:ind w:firstLine="0"/>
      </w:pPr>
      <w:r>
        <w:rPr>
          <w:rFonts w:ascii="Noto Serif CJK SC" w:hAnsi="Noto Serif CJK SC" w:eastAsia="Noto Serif CJK SC"/>
          <w:color w:val="232323"/>
          <w:sz w:val="20"/>
        </w:rPr>
        <w:t>P8：稳定清晰的自我可以健康；病理关键不是“有我”，而是局部关系结构取得超出现实支持的固定规范权。</w:t>
      </w:r>
    </w:p>
    <w:p>
      <w:pPr>
        <w:pStyle w:val="Heading2"/>
        <w:keepNext/>
        <w:keepLines/>
      </w:pPr>
      <w:r>
        <w:t>13.2 正式实验：多扰动纵向设计</w:t>
      </w:r>
    </w:p>
    <w:p>
      <w:pPr>
        <w:pStyle w:val="ListBullet"/>
        <w:ind w:firstLine="0" w:left="425"/>
      </w:pPr>
      <w:r>
        <w:rPr>
          <w:rFonts w:ascii="Noto Serif CJK SC" w:hAnsi="Noto Serif CJK SC" w:eastAsia="Noto Serif CJK SC"/>
          <w:color w:val="232323"/>
          <w:sz w:val="20"/>
        </w:rPr>
        <w:t>样本：成人纵向队列；按症状与诊断分层但不以诊断作为唯一选样标准。</w:t>
      </w:r>
    </w:p>
    <w:p>
      <w:pPr>
        <w:pStyle w:val="ListBullet"/>
        <w:ind w:firstLine="0" w:left="425"/>
      </w:pPr>
      <w:r>
        <w:rPr>
          <w:rFonts w:ascii="Noto Serif CJK SC" w:hAnsi="Noto Serif CJK SC" w:eastAsia="Noto Serif CJK SC"/>
          <w:color w:val="232323"/>
          <w:sz w:val="20"/>
        </w:rPr>
        <w:t>EMA：每日多次，至少4–8周；记录情绪、睡眠、事件、控制努力、反刍、活动及自发后续行动。</w:t>
      </w:r>
    </w:p>
    <w:p>
      <w:pPr>
        <w:pStyle w:val="ListBullet"/>
        <w:ind w:firstLine="0" w:left="425"/>
      </w:pPr>
      <w:r>
        <w:rPr>
          <w:rFonts w:ascii="Noto Serif CJK SC" w:hAnsi="Noto Serif CJK SC" w:eastAsia="Noto Serif CJK SC"/>
          <w:color w:val="232323"/>
          <w:sz w:val="20"/>
        </w:rPr>
        <w:t>多类型现实扰动：工作/评价、关系、身体、计划受阻、积极反馈等低风险标准化事件；同一人跨情境重复。</w:t>
      </w:r>
    </w:p>
    <w:p>
      <w:pPr>
        <w:pStyle w:val="ListBullet"/>
        <w:ind w:firstLine="0" w:left="425"/>
      </w:pPr>
      <w:r>
        <w:rPr>
          <w:rFonts w:ascii="Noto Serif CJK SC" w:hAnsi="Noto Serif CJK SC" w:eastAsia="Noto Serif CJK SC"/>
          <w:color w:val="232323"/>
          <w:sz w:val="20"/>
        </w:rPr>
        <w:t>信念任务：分别估计即时更新 α 与延迟回捕 ρ。</w:t>
      </w:r>
    </w:p>
    <w:p>
      <w:pPr>
        <w:pStyle w:val="ListBullet"/>
        <w:ind w:firstLine="0" w:left="425"/>
      </w:pPr>
      <w:r>
        <w:rPr>
          <w:rFonts w:ascii="Noto Serif CJK SC" w:hAnsi="Noto Serif CJK SC" w:eastAsia="Noto Serif CJK SC"/>
          <w:color w:val="232323"/>
          <w:sz w:val="20"/>
        </w:rPr>
        <w:t>发生秩：将同一个体对多类扰动的多维响应组成矩阵，估计 participation ratio / effective rank。</w:t>
      </w:r>
    </w:p>
    <w:p>
      <w:pPr>
        <w:pStyle w:val="ListBullet"/>
        <w:ind w:firstLine="0" w:left="425"/>
      </w:pPr>
      <w:r>
        <w:rPr>
          <w:rFonts w:ascii="Noto Serif CJK SC" w:hAnsi="Noto Serif CJK SC" w:eastAsia="Noto Serif CJK SC"/>
          <w:color w:val="232323"/>
          <w:sz w:val="20"/>
        </w:rPr>
        <w:t>约束权：测“该参照若被现实否定，我必须多大程度恢复它/否定现实”，并与self-concept clarity、心理灵活性、反刍、自我验证等已有构念做增量效度比较。</w:t>
      </w:r>
    </w:p>
    <w:p>
      <w:pPr>
        <w:pStyle w:val="ListBullet"/>
        <w:ind w:firstLine="0" w:left="425"/>
      </w:pPr>
      <w:r>
        <w:rPr>
          <w:rFonts w:ascii="Noto Serif CJK SC" w:hAnsi="Noto Serif CJK SC" w:eastAsia="Noto Serif CJK SC"/>
          <w:color w:val="232323"/>
          <w:sz w:val="20"/>
        </w:rPr>
        <w:t>生理层：HRV、睡眠、活动量可作为不同观察投影，不预设为病因本体。</w:t>
      </w:r>
    </w:p>
    <w:p>
      <w:pPr>
        <w:pStyle w:val="ListBullet"/>
        <w:ind w:firstLine="0" w:left="425"/>
      </w:pPr>
      <w:r>
        <w:rPr>
          <w:rFonts w:ascii="Noto Serif CJK SC" w:hAnsi="Noto Serif CJK SC" w:eastAsia="Noto Serif CJK SC"/>
          <w:color w:val="232323"/>
          <w:sz w:val="20"/>
        </w:rPr>
        <w:t>年龄/文化：预先分层 Wₐ,꜀ 或采用多层模型估计权重差异。</w:t>
      </w:r>
    </w:p>
    <w:p>
      <w:pPr>
        <w:pStyle w:val="Heading2"/>
        <w:keepNext/>
        <w:keepLines/>
      </w:pPr>
      <w:r>
        <w:t>13.3 判死标准</w:t>
      </w:r>
    </w:p>
    <w:tbl>
      <w:tblPr>
        <w:tblW w:type="auto" w:w="0"/>
        <w:jc w:val="center"/>
        <w:tblLook w:firstColumn="1" w:firstRow="1" w:lastColumn="0" w:lastRow="0" w:noHBand="0" w:noVBand="1" w:val="04A0"/>
      </w:tblPr>
      <w:tblGrid>
        <w:gridCol w:w="9519"/>
      </w:tblGrid>
      <w:tr>
        <w:tc>
          <w:tcPr>
            <w:tcW w:type="dxa" w:w="9519"/>
            <w:shd w:fill="F7F4F1"/>
            <w:tcMar>
              <w:top w:w="120" w:type="dxa"/>
              <w:start w:w="160" w:type="dxa"/>
              <w:bottom w:w="120" w:type="dxa"/>
              <w:end w:w="160" w:type="dxa"/>
            </w:tcMar>
          </w:tcPr>
          <w:p>
            <w:pPr>
              <w:ind w:firstLine="0"/>
            </w:pPr>
            <w:r>
              <w:rPr>
                <w:rFonts w:ascii="Noto Sans CJK SC" w:hAnsi="Noto Sans CJK SC" w:eastAsia="Noto Sans CJK SC"/>
                <w:b/>
                <w:color w:val="912D2D"/>
                <w:sz w:val="20"/>
              </w:rPr>
              <w:t xml:space="preserve">理论必须允许自己失败  </w:t>
            </w:r>
            <w:r>
              <w:rPr>
                <w:rFonts w:ascii="Noto Serif CJK SC" w:hAnsi="Noto Serif CJK SC" w:eastAsia="Noto Serif CJK SC"/>
                <w:color w:val="232323"/>
                <w:sz w:val="19"/>
              </w:rPr>
              <w:t>如果在控制现有构念以后，Λ、ρ、r_gen 对病程没有增量预测；多类型现实响应不存在预期的低秩收缩；即时更新与延迟回捕不能区分；恢复与“生成度”无关；年龄/文化差异必须靠更换母机制才能解释，则本理论的核心版本应被削弱或放弃。</w:t>
            </w:r>
          </w:p>
        </w:tc>
      </w:tr>
    </w:tbl>
    <w:p>
      <w:pPr>
        <w:pStyle w:val="Heading1"/>
        <w:keepNext/>
        <w:keepLines/>
      </w:pPr>
      <w:r>
        <w:t>14. 最终结论</w:t>
      </w:r>
    </w:p>
    <w:p>
      <w:r>
        <w:t>本研究最终不把“抑郁症”“自我”“情绪”“时间”或“疲劳”中的任何一个当作总本体。发生论的研究对象是：临时关系如何形成、如何被承接、如何被新现实改写，以及何时某个局部关系结构取得了超出现实支持的固定控制权。</w:t>
      </w:r>
    </w:p>
    <w:p>
      <w:pPr>
        <w:pStyle w:val="Equation"/>
      </w:pPr>
      <w:r>
        <w:rPr>
          <w:rFonts w:ascii="FreeSerif" w:hAnsi="FreeSerif" w:eastAsia="FreeSerif"/>
          <w:color w:val="232323"/>
          <w:sz w:val="21"/>
        </w:rPr>
        <w:t>发生 → 痕迹/继承 ↔ 当前关系 → 临时系统 →（继续生成 / 约束本体化）</w:t>
      </w:r>
    </w:p>
    <w:p>
      <w:pPr>
        <w:pStyle w:val="Equation"/>
      </w:pPr>
      <w:r>
        <w:rPr>
          <w:rFonts w:ascii="FreeSerif" w:hAnsi="FreeSerif" w:eastAsia="FreeSerif"/>
          <w:color w:val="232323"/>
          <w:sz w:val="21"/>
        </w:rPr>
        <w:t>约束本体化 → 回捕 ↑ → 有效秩 ↓ → 控制成本 ↑ → 痛 / 情绪传播 / 累 / 闭合</w:t>
      </w:r>
    </w:p>
    <w:p>
      <w:r>
        <w:t>健康候选不是“永远开心”“没有自我”“无限灵活”或“所有指标正常”，而是：历史能够被承接，现实仍能区分，新关系仍能出生；稳定存在但不把稳定误作绝对本体。</w:t>
      </w:r>
    </w:p>
    <w:tbl>
      <w:tblPr>
        <w:tblW w:type="auto" w:w="0"/>
        <w:jc w:val="center"/>
        <w:tblLook w:firstColumn="1" w:firstRow="1" w:lastColumn="0" w:lastRow="0" w:noHBand="0" w:noVBand="1" w:val="04A0"/>
      </w:tblPr>
      <w:tblGrid>
        <w:gridCol w:w="9519"/>
      </w:tblGrid>
      <w:tr>
        <w:tc>
          <w:tcPr>
            <w:tcW w:type="dxa" w:w="9519"/>
            <w:shd w:fill="F3F7FA"/>
            <w:tcMar>
              <w:top w:w="120" w:type="dxa"/>
              <w:start w:w="160" w:type="dxa"/>
              <w:bottom w:w="120" w:type="dxa"/>
              <w:end w:w="160" w:type="dxa"/>
            </w:tcMar>
          </w:tcPr>
          <w:p>
            <w:pPr>
              <w:ind w:firstLine="0"/>
            </w:pPr>
            <w:r>
              <w:rPr>
                <w:rFonts w:ascii="Noto Sans CJK SC" w:hAnsi="Noto Sans CJK SC" w:eastAsia="Noto Sans CJK SC"/>
                <w:b/>
                <w:color w:val="1F364E"/>
                <w:sz w:val="20"/>
              </w:rPr>
              <w:t xml:space="preserve">最终冻结句  </w:t>
            </w:r>
            <w:r>
              <w:rPr>
                <w:rFonts w:ascii="Noto Serif CJK SC" w:hAnsi="Noto Serif CJK SC" w:eastAsia="Noto Serif CJK SC"/>
                <w:color w:val="232323"/>
                <w:sz w:val="19"/>
              </w:rPr>
              <w:t>发生形成系统，系统不是发生的主人。关系可以留下痕迹，但痕迹不能取得对下一轮发生的绝对统治；这就是“有痕不住，相续能生”。</w:t>
            </w:r>
          </w:p>
        </w:tc>
      </w:tr>
    </w:tbl>
    <w:p>
      <w:r>
        <w:t>截至本报告，理论根基层面已经足以冻结，不建议继续为了“更深”而增加新本体。下一阶段应从理论构建转入：预注册实验、独立数据复算、跨文化纵向检验、第三方编码与同行审计。所谓“最终”只指本轮心理学理论主干完成，不指科学验证已经结束。</w:t>
      </w:r>
    </w:p>
    <w:p>
      <w:r>
        <w:br w:type="page"/>
      </w:r>
    </w:p>
    <w:p>
      <w:pPr>
        <w:pStyle w:val="Heading1"/>
        <w:keepNext/>
        <w:keepLines/>
      </w:pPr>
      <w:r>
        <w:t>附录A：记号与公式总表</w:t>
      </w:r>
    </w:p>
    <w:tbl>
      <w:tblPr>
        <w:tblStyle w:val="TableGrid"/>
        <w:tblW w:type="auto" w:w="0"/>
        <w:jc w:val="center"/>
        <w:tblLook w:firstColumn="1" w:firstRow="1" w:lastColumn="0" w:lastRow="0" w:noHBand="0" w:noVBand="1" w:val="04A0"/>
      </w:tblPr>
      <w:tblGrid>
        <w:gridCol w:w="3173"/>
        <w:gridCol w:w="3173"/>
        <w:gridCol w:w="3173"/>
      </w:tblGrid>
      <w:tr>
        <w:tc>
          <w:tcPr>
            <w:tcW w:type="dxa" w:w="3173"/>
            <w:shd w:fill="EAF0F5"/>
            <w:vAlign w:val="center"/>
            <w:tcMar>
              <w:top w:w="80" w:type="dxa"/>
              <w:start w:w="100" w:type="dxa"/>
              <w:bottom w:w="80" w:type="dxa"/>
              <w:end w:w="100" w:type="dxa"/>
            </w:tcMar>
          </w:tcPr>
          <w:p>
            <w:pPr>
              <w:jc w:val="center"/>
            </w:pPr>
            <w:r>
              <w:rPr>
                <w:rFonts w:ascii="Noto Sans CJK SC" w:hAnsi="Noto Sans CJK SC" w:eastAsia="Noto Sans CJK SC"/>
                <w:b/>
                <w:color w:val="1F364E"/>
                <w:sz w:val="16"/>
              </w:rPr>
              <w:t>记号</w:t>
            </w:r>
          </w:p>
        </w:tc>
        <w:tc>
          <w:tcPr>
            <w:tcW w:type="dxa" w:w="3173"/>
            <w:shd w:fill="EAF0F5"/>
            <w:vAlign w:val="center"/>
            <w:tcMar>
              <w:top w:w="80" w:type="dxa"/>
              <w:start w:w="100" w:type="dxa"/>
              <w:bottom w:w="80" w:type="dxa"/>
              <w:end w:w="100" w:type="dxa"/>
            </w:tcMar>
          </w:tcPr>
          <w:p>
            <w:pPr>
              <w:jc w:val="center"/>
            </w:pPr>
            <w:r>
              <w:rPr>
                <w:rFonts w:ascii="Noto Sans CJK SC" w:hAnsi="Noto Sans CJK SC" w:eastAsia="Noto Sans CJK SC"/>
                <w:b/>
                <w:color w:val="1F364E"/>
                <w:sz w:val="16"/>
              </w:rPr>
              <w:t>含义</w:t>
            </w:r>
          </w:p>
        </w:tc>
        <w:tc>
          <w:tcPr>
            <w:tcW w:type="dxa" w:w="3173"/>
            <w:shd w:fill="EAF0F5"/>
            <w:vAlign w:val="center"/>
            <w:tcMar>
              <w:top w:w="80" w:type="dxa"/>
              <w:start w:w="100" w:type="dxa"/>
              <w:bottom w:w="80" w:type="dxa"/>
              <w:end w:w="100" w:type="dxa"/>
            </w:tcMar>
          </w:tcPr>
          <w:p>
            <w:pPr>
              <w:jc w:val="center"/>
            </w:pPr>
            <w:r>
              <w:rPr>
                <w:rFonts w:ascii="Noto Sans CJK SC" w:hAnsi="Noto Sans CJK SC" w:eastAsia="Noto Sans CJK SC"/>
                <w:b/>
                <w:color w:val="1F364E"/>
                <w:sz w:val="16"/>
              </w:rPr>
              <w:t>研究状态</w:t>
            </w:r>
          </w:p>
        </w:tc>
      </w:tr>
      <w:tr>
        <w:tc>
          <w:tcPr>
            <w:tcW w:type="dxa" w:w="3173"/>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xₙ</w:t>
            </w:r>
          </w:p>
        </w:tc>
        <w:tc>
          <w:tcPr>
            <w:tcW w:type="dxa" w:w="3173"/>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第n轮发生显出的当前关系状态</w:t>
            </w:r>
          </w:p>
        </w:tc>
        <w:tc>
          <w:tcPr>
            <w:tcW w:type="dxa" w:w="3173"/>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候选形式化</w:t>
            </w:r>
          </w:p>
        </w:tc>
      </w:tr>
      <w:tr>
        <w:tc>
          <w:tcPr>
            <w:tcW w:type="dxa" w:w="3173"/>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Aₙ</w:t>
            </w:r>
          </w:p>
        </w:tc>
        <w:tc>
          <w:tcPr>
            <w:tcW w:type="dxa" w:w="3173"/>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上一轮关系进入下一轮的继承算子</w:t>
            </w:r>
          </w:p>
        </w:tc>
        <w:tc>
          <w:tcPr>
            <w:tcW w:type="dxa" w:w="3173"/>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候选形式化</w:t>
            </w:r>
          </w:p>
        </w:tc>
      </w:tr>
      <w:tr>
        <w:tc>
          <w:tcPr>
            <w:tcW w:type="dxa" w:w="3173"/>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Bₙ</w:t>
            </w:r>
          </w:p>
        </w:tc>
        <w:tc>
          <w:tcPr>
            <w:tcW w:type="dxa" w:w="3173"/>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新现实生成新关系方向的输入算子</w:t>
            </w:r>
          </w:p>
        </w:tc>
        <w:tc>
          <w:tcPr>
            <w:tcW w:type="dxa" w:w="3173"/>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候选形式化</w:t>
            </w:r>
          </w:p>
        </w:tc>
      </w:tr>
      <w:tr>
        <w:tc>
          <w:tcPr>
            <w:tcW w:type="dxa" w:w="3173"/>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Λ</w:t>
            </w:r>
          </w:p>
        </w:tc>
        <w:tc>
          <w:tcPr>
            <w:tcW w:type="dxa" w:w="3173"/>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关系约束取得固定控制权的程度</w:t>
            </w:r>
          </w:p>
        </w:tc>
        <w:tc>
          <w:tcPr>
            <w:tcW w:type="dxa" w:w="3173"/>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核心候选构念</w:t>
            </w:r>
          </w:p>
        </w:tc>
      </w:tr>
      <w:tr>
        <w:tc>
          <w:tcPr>
            <w:tcW w:type="dxa" w:w="3173"/>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Wₐ,꜀</w:t>
            </w:r>
          </w:p>
        </w:tc>
        <w:tc>
          <w:tcPr>
            <w:tcW w:type="dxa" w:w="3173"/>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年龄/文化/角色条件下的关系权重矩阵</w:t>
            </w:r>
          </w:p>
        </w:tc>
        <w:tc>
          <w:tcPr>
            <w:tcW w:type="dxa" w:w="3173"/>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最终修正后的候选</w:t>
            </w:r>
          </w:p>
        </w:tc>
      </w:tr>
      <w:tr>
        <w:tc>
          <w:tcPr>
            <w:tcW w:type="dxa" w:w="3173"/>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D</w:t>
            </w:r>
          </w:p>
        </w:tc>
        <w:tc>
          <w:tcPr>
            <w:tcW w:type="dxa" w:w="3173"/>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当前发生与保留参照的心理关系距离</w:t>
            </w:r>
          </w:p>
        </w:tc>
        <w:tc>
          <w:tcPr>
            <w:tcW w:type="dxa" w:w="3173"/>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候选测量</w:t>
            </w:r>
          </w:p>
        </w:tc>
      </w:tr>
      <w:tr>
        <w:tc>
          <w:tcPr>
            <w:tcW w:type="dxa" w:w="3173"/>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P</w:t>
            </w:r>
          </w:p>
        </w:tc>
        <w:tc>
          <w:tcPr>
            <w:tcW w:type="dxa" w:w="3173"/>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瞬时摩擦/痛苦候选</w:t>
            </w:r>
          </w:p>
        </w:tc>
        <w:tc>
          <w:tcPr>
            <w:tcW w:type="dxa" w:w="3173"/>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P=ΛD 的最小版本</w:t>
            </w:r>
          </w:p>
        </w:tc>
      </w:tr>
      <w:tr>
        <w:tc>
          <w:tcPr>
            <w:tcW w:type="dxa" w:w="3173"/>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E</w:t>
            </w:r>
          </w:p>
        </w:tc>
        <w:tc>
          <w:tcPr>
            <w:tcW w:type="dxa" w:w="3173"/>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持续情绪动力状态</w:t>
            </w:r>
          </w:p>
        </w:tc>
        <w:tc>
          <w:tcPr>
            <w:tcW w:type="dxa" w:w="3173"/>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Eₜ₊₁=aEₜ+bPₜ</w:t>
            </w:r>
          </w:p>
        </w:tc>
      </w:tr>
      <w:tr>
        <w:tc>
          <w:tcPr>
            <w:tcW w:type="dxa" w:w="3173"/>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F</w:t>
            </w:r>
          </w:p>
        </w:tc>
        <w:tc>
          <w:tcPr>
            <w:tcW w:type="dxa" w:w="3173"/>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长期控制成本/心理耗损通道</w:t>
            </w:r>
          </w:p>
        </w:tc>
        <w:tc>
          <w:tcPr>
            <w:tcW w:type="dxa" w:w="3173"/>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Σ||u_control||²</w:t>
            </w:r>
          </w:p>
        </w:tc>
      </w:tr>
      <w:tr>
        <w:tc>
          <w:tcPr>
            <w:tcW w:type="dxa" w:w="3173"/>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ρ</w:t>
            </w:r>
          </w:p>
        </w:tc>
        <w:tc>
          <w:tcPr>
            <w:tcW w:type="dxa" w:w="3173"/>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更新后的回捕/反转程度</w:t>
            </w:r>
          </w:p>
        </w:tc>
        <w:tc>
          <w:tcPr>
            <w:tcW w:type="dxa" w:w="3173"/>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可直接估计的动态参数</w:t>
            </w:r>
          </w:p>
        </w:tc>
      </w:tr>
      <w:tr>
        <w:tc>
          <w:tcPr>
            <w:tcW w:type="dxa" w:w="3173"/>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r_gen</w:t>
            </w:r>
          </w:p>
        </w:tc>
        <w:tc>
          <w:tcPr>
            <w:tcW w:type="dxa" w:w="3173"/>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不同现实输入产生的有效响应维度</w:t>
            </w:r>
          </w:p>
        </w:tc>
        <w:tc>
          <w:tcPr>
            <w:tcW w:type="dxa" w:w="3173"/>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核心可证伪预测</w:t>
            </w:r>
          </w:p>
        </w:tc>
      </w:tr>
      <w:tr>
        <w:tc>
          <w:tcPr>
            <w:tcW w:type="dxa" w:w="3173"/>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m</w:t>
            </w:r>
          </w:p>
        </w:tc>
        <w:tc>
          <w:tcPr>
            <w:tcW w:type="dxa" w:w="3173"/>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某约束模式对关系网的支配强度</w:t>
            </w:r>
          </w:p>
        </w:tc>
        <w:tc>
          <w:tcPr>
            <w:tcW w:type="dxa" w:w="3173"/>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相变模型状态变量</w:t>
            </w:r>
          </w:p>
        </w:tc>
      </w:tr>
      <w:tr>
        <w:tc>
          <w:tcPr>
            <w:tcW w:type="dxa" w:w="3173"/>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κ</w:t>
            </w:r>
          </w:p>
        </w:tc>
        <w:tc>
          <w:tcPr>
            <w:tcW w:type="dxa" w:w="3173"/>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约束模式的自强化增益</w:t>
            </w:r>
          </w:p>
        </w:tc>
        <w:tc>
          <w:tcPr>
            <w:tcW w:type="dxa" w:w="3173"/>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最小相变模型参数</w:t>
            </w:r>
          </w:p>
        </w:tc>
      </w:tr>
      <w:tr>
        <w:tc>
          <w:tcPr>
            <w:tcW w:type="dxa" w:w="3173"/>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P,Q,U,Φ</w:t>
            </w:r>
          </w:p>
        </w:tc>
        <w:tc>
          <w:tcPr>
            <w:tcW w:type="dxa" w:w="3173"/>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基础物理投影模型中的局部截取、余量、完整动力、局部动力</w:t>
            </w:r>
          </w:p>
        </w:tc>
        <w:tc>
          <w:tcPr>
            <w:tcW w:type="dxa" w:w="3173"/>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严格代数接口；非心理实体</w:t>
            </w:r>
          </w:p>
        </w:tc>
      </w:tr>
    </w:tbl>
    <w:p>
      <w:pPr>
        <w:pStyle w:val="Heading1"/>
        <w:keepNext/>
        <w:keepLines/>
      </w:pPr>
      <w:r>
        <w:t>附录B：公开案例匿名编码表</w:t>
      </w:r>
    </w:p>
    <w:tbl>
      <w:tblPr>
        <w:tblStyle w:val="TableGrid"/>
        <w:tblW w:type="auto" w:w="0"/>
        <w:jc w:val="center"/>
        <w:tblLook w:firstColumn="1" w:firstRow="1" w:lastColumn="0" w:lastRow="0" w:noHBand="0" w:noVBand="1" w:val="04A0"/>
      </w:tblPr>
      <w:tblGrid>
        <w:gridCol w:w="2380"/>
        <w:gridCol w:w="2380"/>
        <w:gridCol w:w="2380"/>
        <w:gridCol w:w="2380"/>
      </w:tblGrid>
      <w:tr>
        <w:tc>
          <w:tcPr>
            <w:tcW w:type="dxa" w:w="2380"/>
            <w:shd w:fill="EAF0F5"/>
            <w:vAlign w:val="center"/>
            <w:tcMar>
              <w:top w:w="80" w:type="dxa"/>
              <w:start w:w="100" w:type="dxa"/>
              <w:bottom w:w="80" w:type="dxa"/>
              <w:end w:w="100" w:type="dxa"/>
            </w:tcMar>
          </w:tcPr>
          <w:p>
            <w:pPr>
              <w:jc w:val="center"/>
            </w:pPr>
            <w:r>
              <w:rPr>
                <w:rFonts w:ascii="Noto Sans CJK SC" w:hAnsi="Noto Sans CJK SC" w:eastAsia="Noto Sans CJK SC"/>
                <w:b/>
                <w:color w:val="1F364E"/>
                <w:sz w:val="16"/>
              </w:rPr>
              <w:t>码</w:t>
            </w:r>
          </w:p>
        </w:tc>
        <w:tc>
          <w:tcPr>
            <w:tcW w:type="dxa" w:w="2380"/>
            <w:shd w:fill="EAF0F5"/>
            <w:vAlign w:val="center"/>
            <w:tcMar>
              <w:top w:w="80" w:type="dxa"/>
              <w:start w:w="100" w:type="dxa"/>
              <w:bottom w:w="80" w:type="dxa"/>
              <w:end w:w="100" w:type="dxa"/>
            </w:tcMar>
          </w:tcPr>
          <w:p>
            <w:pPr>
              <w:jc w:val="center"/>
            </w:pPr>
            <w:r>
              <w:rPr>
                <w:rFonts w:ascii="Noto Sans CJK SC" w:hAnsi="Noto Sans CJK SC" w:eastAsia="Noto Sans CJK SC"/>
                <w:b/>
                <w:color w:val="1F364E"/>
                <w:sz w:val="16"/>
              </w:rPr>
              <w:t>0</w:t>
            </w:r>
          </w:p>
        </w:tc>
        <w:tc>
          <w:tcPr>
            <w:tcW w:type="dxa" w:w="2380"/>
            <w:shd w:fill="EAF0F5"/>
            <w:vAlign w:val="center"/>
            <w:tcMar>
              <w:top w:w="80" w:type="dxa"/>
              <w:start w:w="100" w:type="dxa"/>
              <w:bottom w:w="80" w:type="dxa"/>
              <w:end w:w="100" w:type="dxa"/>
            </w:tcMar>
          </w:tcPr>
          <w:p>
            <w:pPr>
              <w:jc w:val="center"/>
            </w:pPr>
            <w:r>
              <w:rPr>
                <w:rFonts w:ascii="Noto Sans CJK SC" w:hAnsi="Noto Sans CJK SC" w:eastAsia="Noto Sans CJK SC"/>
                <w:b/>
                <w:color w:val="1F364E"/>
                <w:sz w:val="16"/>
              </w:rPr>
              <w:t>1</w:t>
            </w:r>
          </w:p>
        </w:tc>
        <w:tc>
          <w:tcPr>
            <w:tcW w:type="dxa" w:w="2380"/>
            <w:shd w:fill="EAF0F5"/>
            <w:vAlign w:val="center"/>
            <w:tcMar>
              <w:top w:w="80" w:type="dxa"/>
              <w:start w:w="100" w:type="dxa"/>
              <w:bottom w:w="80" w:type="dxa"/>
              <w:end w:w="100" w:type="dxa"/>
            </w:tcMar>
          </w:tcPr>
          <w:p>
            <w:pPr>
              <w:jc w:val="center"/>
            </w:pPr>
            <w:r>
              <w:rPr>
                <w:rFonts w:ascii="Noto Sans CJK SC" w:hAnsi="Noto Sans CJK SC" w:eastAsia="Noto Sans CJK SC"/>
                <w:b/>
                <w:color w:val="1F364E"/>
                <w:sz w:val="16"/>
              </w:rPr>
              <w:t>2</w:t>
            </w:r>
          </w:p>
        </w:tc>
      </w:tr>
      <w:tr>
        <w:tc>
          <w:tcPr>
            <w:tcW w:type="dxa" w:w="2380"/>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M/Λ 锚定</w:t>
            </w:r>
          </w:p>
        </w:tc>
        <w:tc>
          <w:tcPr>
            <w:tcW w:type="dxa" w:w="2380"/>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无明显固定身份/约束语言</w:t>
            </w:r>
          </w:p>
        </w:tc>
        <w:tc>
          <w:tcPr>
            <w:tcW w:type="dxa" w:w="2380"/>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局部绑定</w:t>
            </w:r>
          </w:p>
        </w:tc>
        <w:tc>
          <w:tcPr>
            <w:tcW w:type="dxa" w:w="2380"/>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广泛把现实等同于固定身份/规则</w:t>
            </w:r>
          </w:p>
        </w:tc>
      </w:tr>
      <w:tr>
        <w:tc>
          <w:tcPr>
            <w:tcW w:type="dxa" w:w="2380"/>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D 心理时间差</w:t>
            </w:r>
          </w:p>
        </w:tc>
        <w:tc>
          <w:tcPr>
            <w:tcW w:type="dxa" w:w="2380"/>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过去参照弱/当前接纳</w:t>
            </w:r>
          </w:p>
        </w:tc>
        <w:tc>
          <w:tcPr>
            <w:tcW w:type="dxa" w:w="2380"/>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明显比较</w:t>
            </w:r>
          </w:p>
        </w:tc>
        <w:tc>
          <w:tcPr>
            <w:tcW w:type="dxa" w:w="2380"/>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过去照片强烈否定当前</w:t>
            </w:r>
          </w:p>
        </w:tc>
      </w:tr>
      <w:tr>
        <w:tc>
          <w:tcPr>
            <w:tcW w:type="dxa" w:w="2380"/>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P 摩擦</w:t>
            </w:r>
          </w:p>
        </w:tc>
        <w:tc>
          <w:tcPr>
            <w:tcW w:type="dxa" w:w="2380"/>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低</w:t>
            </w:r>
          </w:p>
        </w:tc>
        <w:tc>
          <w:tcPr>
            <w:tcW w:type="dxa" w:w="2380"/>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中</w:t>
            </w:r>
          </w:p>
        </w:tc>
        <w:tc>
          <w:tcPr>
            <w:tcW w:type="dxa" w:w="2380"/>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高/明确对抗</w:t>
            </w:r>
          </w:p>
        </w:tc>
      </w:tr>
      <w:tr>
        <w:tc>
          <w:tcPr>
            <w:tcW w:type="dxa" w:w="2380"/>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E 情绪传播</w:t>
            </w:r>
          </w:p>
        </w:tc>
        <w:tc>
          <w:tcPr>
            <w:tcW w:type="dxa" w:w="2380"/>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局部短暂</w:t>
            </w:r>
          </w:p>
        </w:tc>
        <w:tc>
          <w:tcPr>
            <w:tcW w:type="dxa" w:w="2380"/>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扩散到数个领域</w:t>
            </w:r>
          </w:p>
        </w:tc>
        <w:tc>
          <w:tcPr>
            <w:tcW w:type="dxa" w:w="2380"/>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广泛持续影响</w:t>
            </w:r>
          </w:p>
        </w:tc>
      </w:tr>
      <w:tr>
        <w:tc>
          <w:tcPr>
            <w:tcW w:type="dxa" w:w="2380"/>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F 耗损</w:t>
            </w:r>
          </w:p>
        </w:tc>
        <w:tc>
          <w:tcPr>
            <w:tcW w:type="dxa" w:w="2380"/>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低</w:t>
            </w:r>
          </w:p>
        </w:tc>
        <w:tc>
          <w:tcPr>
            <w:tcW w:type="dxa" w:w="2380"/>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中</w:t>
            </w:r>
          </w:p>
        </w:tc>
        <w:tc>
          <w:tcPr>
            <w:tcW w:type="dxa" w:w="2380"/>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长期明显疲惫/强迫维持</w:t>
            </w:r>
          </w:p>
        </w:tc>
      </w:tr>
      <w:tr>
        <w:tc>
          <w:tcPr>
            <w:tcW w:type="dxa" w:w="2380"/>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ρ 回捕</w:t>
            </w:r>
          </w:p>
        </w:tc>
        <w:tc>
          <w:tcPr>
            <w:tcW w:type="dxa" w:w="2380"/>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无明显回返</w:t>
            </w:r>
          </w:p>
        </w:tc>
        <w:tc>
          <w:tcPr>
            <w:tcW w:type="dxa" w:w="2380"/>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偶发</w:t>
            </w:r>
          </w:p>
        </w:tc>
        <w:tc>
          <w:tcPr>
            <w:tcW w:type="dxa" w:w="2380"/>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好转后明显拉回旧状态</w:t>
            </w:r>
          </w:p>
        </w:tc>
      </w:tr>
      <w:tr>
        <w:tc>
          <w:tcPr>
            <w:tcW w:type="dxa" w:w="2380"/>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R 低秩收缩</w:t>
            </w:r>
          </w:p>
        </w:tc>
        <w:tc>
          <w:tcPr>
            <w:tcW w:type="dxa" w:w="2380"/>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不同问题仍能分开</w:t>
            </w:r>
          </w:p>
        </w:tc>
        <w:tc>
          <w:tcPr>
            <w:tcW w:type="dxa" w:w="2380"/>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部分泛化</w:t>
            </w:r>
          </w:p>
        </w:tc>
        <w:tc>
          <w:tcPr>
            <w:tcW w:type="dxa" w:w="2380"/>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多领域被同一解释吞并</w:t>
            </w:r>
          </w:p>
        </w:tc>
      </w:tr>
      <w:tr>
        <w:tc>
          <w:tcPr>
            <w:tcW w:type="dxa" w:w="2380"/>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H 滞后</w:t>
            </w:r>
          </w:p>
        </w:tc>
        <w:tc>
          <w:tcPr>
            <w:tcW w:type="dxa" w:w="2380"/>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事件结束后快速松动</w:t>
            </w:r>
          </w:p>
        </w:tc>
        <w:tc>
          <w:tcPr>
            <w:tcW w:type="dxa" w:w="2380"/>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残留</w:t>
            </w:r>
          </w:p>
        </w:tc>
        <w:tc>
          <w:tcPr>
            <w:tcW w:type="dxa" w:w="2380"/>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长时间残留/触发再现</w:t>
            </w:r>
          </w:p>
        </w:tc>
      </w:tr>
    </w:tbl>
    <w:p>
      <w:r>
        <w:t>编码表只用于探索性叙事研究，不是临床量表。正式实验需要建立信度、效度与独立编码者一致性。</w:t>
      </w:r>
    </w:p>
    <w:p>
      <w:pPr>
        <w:pStyle w:val="Heading1"/>
        <w:keepNext/>
        <w:keepLines/>
      </w:pPr>
      <w:r>
        <w:t>附录C：核心原文定位</w:t>
      </w:r>
    </w:p>
    <w:tbl>
      <w:tblPr>
        <w:tblStyle w:val="TableGrid"/>
        <w:tblW w:type="auto" w:w="0"/>
        <w:jc w:val="center"/>
        <w:tblLook w:firstColumn="1" w:firstRow="1" w:lastColumn="0" w:lastRow="0" w:noHBand="0" w:noVBand="1" w:val="04A0"/>
      </w:tblPr>
      <w:tblGrid>
        <w:gridCol w:w="3173"/>
        <w:gridCol w:w="3173"/>
        <w:gridCol w:w="3173"/>
      </w:tblGrid>
      <w:tr>
        <w:tc>
          <w:tcPr>
            <w:tcW w:type="dxa" w:w="3173"/>
            <w:shd w:fill="EAF0F5"/>
            <w:vAlign w:val="center"/>
            <w:tcMar>
              <w:top w:w="80" w:type="dxa"/>
              <w:start w:w="100" w:type="dxa"/>
              <w:bottom w:w="80" w:type="dxa"/>
              <w:end w:w="100" w:type="dxa"/>
            </w:tcMar>
          </w:tcPr>
          <w:p>
            <w:pPr>
              <w:jc w:val="center"/>
            </w:pPr>
            <w:r>
              <w:rPr>
                <w:rFonts w:ascii="Noto Sans CJK SC" w:hAnsi="Noto Sans CJK SC" w:eastAsia="Noto Sans CJK SC"/>
                <w:b/>
                <w:color w:val="1F364E"/>
                <w:sz w:val="16"/>
              </w:rPr>
              <w:t>篇目</w:t>
            </w:r>
          </w:p>
        </w:tc>
        <w:tc>
          <w:tcPr>
            <w:tcW w:type="dxa" w:w="3173"/>
            <w:shd w:fill="EAF0F5"/>
            <w:vAlign w:val="center"/>
            <w:tcMar>
              <w:top w:w="80" w:type="dxa"/>
              <w:start w:w="100" w:type="dxa"/>
              <w:bottom w:w="80" w:type="dxa"/>
              <w:end w:w="100" w:type="dxa"/>
            </w:tcMar>
          </w:tcPr>
          <w:p>
            <w:pPr>
              <w:jc w:val="center"/>
            </w:pPr>
            <w:r>
              <w:rPr>
                <w:rFonts w:ascii="Noto Sans CJK SC" w:hAnsi="Noto Sans CJK SC" w:eastAsia="Noto Sans CJK SC"/>
                <w:b/>
                <w:color w:val="1F364E"/>
                <w:sz w:val="16"/>
              </w:rPr>
              <w:t>核心位置</w:t>
            </w:r>
          </w:p>
        </w:tc>
        <w:tc>
          <w:tcPr>
            <w:tcW w:type="dxa" w:w="3173"/>
            <w:shd w:fill="EAF0F5"/>
            <w:vAlign w:val="center"/>
            <w:tcMar>
              <w:top w:w="80" w:type="dxa"/>
              <w:start w:w="100" w:type="dxa"/>
              <w:bottom w:w="80" w:type="dxa"/>
              <w:end w:w="100" w:type="dxa"/>
            </w:tcMar>
          </w:tcPr>
          <w:p>
            <w:pPr>
              <w:jc w:val="center"/>
            </w:pPr>
            <w:r>
              <w:rPr>
                <w:rFonts w:ascii="Noto Sans CJK SC" w:hAnsi="Noto Sans CJK SC" w:eastAsia="Noto Sans CJK SC"/>
                <w:b/>
                <w:color w:val="1F364E"/>
                <w:sz w:val="16"/>
              </w:rPr>
              <w:t>本报告使用方式</w:t>
            </w:r>
          </w:p>
        </w:tc>
      </w:tr>
      <w:tr>
        <w:tc>
          <w:tcPr>
            <w:tcW w:type="dxa" w:w="3173"/>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《转》</w:t>
            </w:r>
          </w:p>
        </w:tc>
        <w:tc>
          <w:tcPr>
            <w:tcW w:type="dxa" w:w="3173"/>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L4–L16；L31–L42；L61–L65</w:t>
            </w:r>
          </w:p>
        </w:tc>
        <w:tc>
          <w:tcPr>
            <w:tcW w:type="dxa" w:w="3173"/>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转、内部更新、固定/病态、痕迹/影子、死海</w:t>
            </w:r>
          </w:p>
        </w:tc>
      </w:tr>
      <w:tr>
        <w:tc>
          <w:tcPr>
            <w:tcW w:type="dxa" w:w="3173"/>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《运作方式》</w:t>
            </w:r>
          </w:p>
        </w:tc>
        <w:tc>
          <w:tcPr>
            <w:tcW w:type="dxa" w:w="3173"/>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L68–L118</w:t>
            </w:r>
          </w:p>
        </w:tc>
        <w:tc>
          <w:tcPr>
            <w:tcW w:type="dxa" w:w="3173"/>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诚、容、顺；放下、关系互动；不把三者机械化为因果链</w:t>
            </w:r>
          </w:p>
        </w:tc>
      </w:tr>
      <w:tr>
        <w:tc>
          <w:tcPr>
            <w:tcW w:type="dxa" w:w="3173"/>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《零修辞》</w:t>
            </w:r>
          </w:p>
        </w:tc>
        <w:tc>
          <w:tcPr>
            <w:tcW w:type="dxa" w:w="3173"/>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约L123–L162</w:t>
            </w:r>
          </w:p>
        </w:tc>
        <w:tc>
          <w:tcPr>
            <w:tcW w:type="dxa" w:w="3173"/>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发生与记录/照片的区分</w:t>
            </w:r>
          </w:p>
        </w:tc>
      </w:tr>
      <w:tr>
        <w:tc>
          <w:tcPr>
            <w:tcW w:type="dxa" w:w="3173"/>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《四心法》</w:t>
            </w:r>
          </w:p>
        </w:tc>
        <w:tc>
          <w:tcPr>
            <w:tcW w:type="dxa" w:w="3173"/>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L169–L213</w:t>
            </w:r>
          </w:p>
        </w:tc>
        <w:tc>
          <w:tcPr>
            <w:tcW w:type="dxa" w:w="3173"/>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爱情照片、主语修辞、关系网、结果是暂时状态</w:t>
            </w:r>
          </w:p>
        </w:tc>
      </w:tr>
      <w:tr>
        <w:tc>
          <w:tcPr>
            <w:tcW w:type="dxa" w:w="3173"/>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《心理学》</w:t>
            </w:r>
          </w:p>
        </w:tc>
        <w:tc>
          <w:tcPr>
            <w:tcW w:type="dxa" w:w="3173"/>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L369–L395；L431–L455</w:t>
            </w:r>
          </w:p>
        </w:tc>
        <w:tc>
          <w:tcPr>
            <w:tcW w:type="dxa" w:w="3173"/>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人是关系生成暂时状态、卡位、爱情永恒照片、生意≠我</w:t>
            </w:r>
          </w:p>
        </w:tc>
      </w:tr>
      <w:tr>
        <w:tc>
          <w:tcPr>
            <w:tcW w:type="dxa" w:w="3173"/>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《语言篇》</w:t>
            </w:r>
          </w:p>
        </w:tc>
        <w:tc>
          <w:tcPr>
            <w:tcW w:type="dxa" w:w="3173"/>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L539–L568</w:t>
            </w:r>
          </w:p>
        </w:tc>
        <w:tc>
          <w:tcPr>
            <w:tcW w:type="dxa" w:w="3173"/>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经验片段、陌生人/熟人、鸟飞走、语言照片</w:t>
            </w:r>
          </w:p>
        </w:tc>
      </w:tr>
      <w:tr>
        <w:tc>
          <w:tcPr>
            <w:tcW w:type="dxa" w:w="3173"/>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《吃饭/现代人的绝境》</w:t>
            </w:r>
          </w:p>
        </w:tc>
        <w:tc>
          <w:tcPr>
            <w:tcW w:type="dxa" w:w="3173"/>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L684–L737</w:t>
            </w:r>
          </w:p>
        </w:tc>
        <w:tc>
          <w:tcPr>
            <w:tcW w:type="dxa" w:w="3173"/>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残影、概念我、铠甲勇士、爱好入口</w:t>
            </w:r>
          </w:p>
        </w:tc>
      </w:tr>
      <w:tr>
        <w:tc>
          <w:tcPr>
            <w:tcW w:type="dxa" w:w="3173"/>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《时间是什么》</w:t>
            </w:r>
          </w:p>
        </w:tc>
        <w:tc>
          <w:tcPr>
            <w:tcW w:type="dxa" w:w="3173"/>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L739–L783</w:t>
            </w:r>
          </w:p>
        </w:tc>
        <w:tc>
          <w:tcPr>
            <w:tcW w:type="dxa" w:w="3173"/>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过去照片、静止参照、对抗当前、心理摩擦</w:t>
            </w:r>
          </w:p>
        </w:tc>
      </w:tr>
      <w:tr>
        <w:tc>
          <w:tcPr>
            <w:tcW w:type="dxa" w:w="3173"/>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《什么是情绪》</w:t>
            </w:r>
          </w:p>
        </w:tc>
        <w:tc>
          <w:tcPr>
            <w:tcW w:type="dxa" w:w="3173"/>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L785–L811</w:t>
            </w:r>
          </w:p>
        </w:tc>
        <w:tc>
          <w:tcPr>
            <w:tcW w:type="dxa" w:w="3173"/>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瞬时痛苦与后续情绪系统扰乱分离</w:t>
            </w:r>
          </w:p>
        </w:tc>
      </w:tr>
      <w:tr>
        <w:tc>
          <w:tcPr>
            <w:tcW w:type="dxa" w:w="3173"/>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《人类最根本的问题》</w:t>
            </w:r>
          </w:p>
        </w:tc>
        <w:tc>
          <w:tcPr>
            <w:tcW w:type="dxa" w:w="3173"/>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当前归档仅保存研究报告摘要中的核心追问与结论</w:t>
            </w:r>
          </w:p>
        </w:tc>
        <w:tc>
          <w:tcPr>
            <w:tcW w:type="dxa" w:w="3173"/>
            <w:vAlign w:val="center"/>
            <w:tcMar>
              <w:top w:w="80" w:type="dxa"/>
              <w:start w:w="100" w:type="dxa"/>
              <w:bottom w:w="80" w:type="dxa"/>
              <w:end w:w="100" w:type="dxa"/>
            </w:tcMar>
          </w:tcPr>
          <w:p>
            <w:pPr>
              <w:ind w:firstLine="0"/>
            </w:pPr>
            <w:r>
              <w:rPr>
                <w:rFonts w:ascii="Noto Serif CJK SC" w:hAnsi="Noto Serif CJK SC" w:eastAsia="Noto Serif CJK SC"/>
                <w:color w:val="232323"/>
                <w:sz w:val="16"/>
              </w:rPr>
              <w:t>仅作资料有限的关键参照，不重构缺失原文</w:t>
            </w:r>
          </w:p>
        </w:tc>
      </w:tr>
    </w:tbl>
    <w:p>
      <w:pPr>
        <w:pStyle w:val="Heading1"/>
        <w:keepNext/>
        <w:keepLines/>
      </w:pPr>
      <w:r>
        <w:t>参考文献与现代接口（检索截至2026-09-23）</w:t>
      </w:r>
    </w:p>
    <w:p>
      <w:pPr>
        <w:ind w:firstLine="0" w:left="198"/>
      </w:pPr>
      <w:r>
        <w:rPr>
          <w:rFonts w:ascii="Noto Serif CJK SC" w:hAnsi="Noto Serif CJK SC" w:eastAsia="Noto Serif CJK SC"/>
          <w:color w:val="232323"/>
          <w:sz w:val="17"/>
        </w:rPr>
        <w:t xml:space="preserve">[R1] Zabag R, et al. Belief Updating Deficits in Depression: A Systematic Review and Meta-Analysis. Clinical Psychology Review. 2025. PMID 41033262; DOI 10.1016/j.cpr.2025.102649. </w:t>
      </w:r>
      <w:hyperlink r:id="rId13">
        <w:r>
          <w:rPr>
            <w:color w:val="2F5F80"/>
            <w:u w:val="single"/>
            <w:rFonts w:eastAsia="Noto Sans CJK SC" w:ascii="Noto Sans CJK SC"/>
          </w:rPr>
          <w:t>PubMed 41033262</w:t>
        </w:r>
      </w:hyperlink>
    </w:p>
    <w:p>
      <w:pPr>
        <w:ind w:firstLine="0" w:left="198"/>
      </w:pPr>
      <w:r>
        <w:rPr>
          <w:rFonts w:ascii="Noto Serif CJK SC" w:hAnsi="Noto Serif CJK SC" w:eastAsia="Noto Serif CJK SC"/>
          <w:color w:val="232323"/>
          <w:sz w:val="17"/>
        </w:rPr>
        <w:t xml:space="preserve">[R2] Maffly-Kipp J, et al. Learning from experience: Depressive bias and updating beliefs about common life events. Behaviour Research and Therapy. 2026. PMID 41539131; DOI 10.1016/j.brat.2026.104959. </w:t>
      </w:r>
      <w:hyperlink r:id="rId14">
        <w:r>
          <w:rPr>
            <w:color w:val="2F5F80"/>
            <w:u w:val="single"/>
            <w:rFonts w:eastAsia="Noto Sans CJK SC" w:ascii="Noto Sans CJK SC"/>
          </w:rPr>
          <w:t>PubMed 41539131</w:t>
        </w:r>
      </w:hyperlink>
    </w:p>
    <w:p>
      <w:pPr>
        <w:ind w:firstLine="0" w:left="198"/>
      </w:pPr>
      <w:r>
        <w:rPr>
          <w:rFonts w:ascii="Noto Serif CJK SC" w:hAnsi="Noto Serif CJK SC" w:eastAsia="Noto Serif CJK SC"/>
          <w:color w:val="232323"/>
          <w:sz w:val="17"/>
        </w:rPr>
        <w:t xml:space="preserve">[R3] Aggarwal A, Hughes BL. Wired for coherence: a network theory of self. Trends in Cognitive Sciences. 2026. PMID 42481225; DOI 10.1016/j.tics.2026.06.015. </w:t>
      </w:r>
      <w:hyperlink r:id="rId15">
        <w:r>
          <w:rPr>
            <w:color w:val="2F5F80"/>
            <w:u w:val="single"/>
            <w:rFonts w:eastAsia="Noto Sans CJK SC" w:ascii="Noto Sans CJK SC"/>
          </w:rPr>
          <w:t>PubMed 42481225</w:t>
        </w:r>
      </w:hyperlink>
    </w:p>
    <w:p>
      <w:pPr>
        <w:ind w:firstLine="0" w:left="198"/>
      </w:pPr>
      <w:r>
        <w:rPr>
          <w:rFonts w:ascii="Noto Serif CJK SC" w:hAnsi="Noto Serif CJK SC" w:eastAsia="Noto Serif CJK SC"/>
          <w:color w:val="232323"/>
          <w:sz w:val="17"/>
        </w:rPr>
        <w:t xml:space="preserve">[R4] Jin B, et al. Emotional conceptual structures in high depression and anxiety: Combining low-dimensional and network models. Emotion. 2026. PMID 42658635; DOI 10.1037/emo0001736. </w:t>
      </w:r>
      <w:hyperlink r:id="rId16">
        <w:r>
          <w:rPr>
            <w:color w:val="2F5F80"/>
            <w:u w:val="single"/>
            <w:rFonts w:eastAsia="Noto Sans CJK SC" w:ascii="Noto Sans CJK SC"/>
          </w:rPr>
          <w:t>PubMed 42658635</w:t>
        </w:r>
      </w:hyperlink>
    </w:p>
    <w:p>
      <w:pPr>
        <w:ind w:firstLine="0" w:left="198"/>
      </w:pPr>
      <w:r>
        <w:rPr>
          <w:rFonts w:ascii="Noto Serif CJK SC" w:hAnsi="Noto Serif CJK SC" w:eastAsia="Noto Serif CJK SC"/>
          <w:color w:val="232323"/>
          <w:sz w:val="17"/>
        </w:rPr>
        <w:t xml:space="preserve">[R5] Hawes MT, Klein DN. Emotion dynamics in current and remitted depression: an ecological momentary assessment study. Psychological Medicine. 2024. PMID 38433585; DOI 10.1017/S0033291724000369. </w:t>
      </w:r>
      <w:hyperlink r:id="rId17">
        <w:r>
          <w:rPr>
            <w:color w:val="2F5F80"/>
            <w:u w:val="single"/>
            <w:rFonts w:eastAsia="Noto Sans CJK SC" w:ascii="Noto Sans CJK SC"/>
          </w:rPr>
          <w:t>PubMed 38433585</w:t>
        </w:r>
      </w:hyperlink>
    </w:p>
    <w:p>
      <w:pPr>
        <w:ind w:firstLine="0" w:left="198"/>
      </w:pPr>
      <w:r>
        <w:rPr>
          <w:rFonts w:ascii="Noto Serif CJK SC" w:hAnsi="Noto Serif CJK SC" w:eastAsia="Noto Serif CJK SC"/>
          <w:color w:val="232323"/>
          <w:sz w:val="17"/>
        </w:rPr>
        <w:t xml:space="preserve">[R6] Characterizing emotion dynamics in remitted depression: A network approach using ecological momentary assessment. 2026. PMID 42211737. </w:t>
      </w:r>
      <w:hyperlink r:id="rId18">
        <w:r>
          <w:rPr>
            <w:color w:val="2F5F80"/>
            <w:u w:val="single"/>
            <w:rFonts w:eastAsia="Noto Sans CJK SC" w:ascii="Noto Sans CJK SC"/>
          </w:rPr>
          <w:t>PubMed 42211737</w:t>
        </w:r>
      </w:hyperlink>
    </w:p>
    <w:p>
      <w:pPr>
        <w:ind w:firstLine="0" w:left="198"/>
      </w:pPr>
      <w:r>
        <w:rPr>
          <w:rFonts w:ascii="Noto Serif CJK SC" w:hAnsi="Noto Serif CJK SC" w:eastAsia="Noto Serif CJK SC"/>
          <w:color w:val="232323"/>
          <w:sz w:val="17"/>
        </w:rPr>
        <w:t xml:space="preserve">[R7] Liu J, et al. Reciprocal Temporal Associations Between Grief Rumination and Daily Affect in Bereavement. Clinical Psychology &amp; Psychotherapy. 2026. PMID 42575859; DOI 10.1002/cpp.70316. </w:t>
      </w:r>
      <w:hyperlink r:id="rId19">
        <w:r>
          <w:rPr>
            <w:color w:val="2F5F80"/>
            <w:u w:val="single"/>
            <w:rFonts w:eastAsia="Noto Sans CJK SC" w:ascii="Noto Sans CJK SC"/>
          </w:rPr>
          <w:t>PubMed 42575859</w:t>
        </w:r>
      </w:hyperlink>
    </w:p>
    <w:p>
      <w:pPr>
        <w:ind w:firstLine="0" w:left="198"/>
      </w:pPr>
      <w:r>
        <w:rPr>
          <w:rFonts w:ascii="Noto Serif CJK SC" w:hAnsi="Noto Serif CJK SC" w:eastAsia="Noto Serif CJK SC"/>
          <w:color w:val="232323"/>
          <w:sz w:val="17"/>
        </w:rPr>
        <w:t xml:space="preserve">[R8] Perseverative cognition and vagally mediated heart rate variability in laboratory studies: A series of meta-analyses. 2026. PMID 41865891. </w:t>
      </w:r>
      <w:hyperlink r:id="rId20">
        <w:r>
          <w:rPr>
            <w:color w:val="2F5F80"/>
            <w:u w:val="single"/>
            <w:rFonts w:eastAsia="Noto Sans CJK SC" w:ascii="Noto Sans CJK SC"/>
          </w:rPr>
          <w:t>PubMed 41865891</w:t>
        </w:r>
      </w:hyperlink>
    </w:p>
    <w:p>
      <w:pPr>
        <w:ind w:firstLine="0" w:left="198"/>
      </w:pPr>
      <w:r>
        <w:rPr>
          <w:rFonts w:ascii="Noto Serif CJK SC" w:hAnsi="Noto Serif CJK SC" w:eastAsia="Noto Serif CJK SC"/>
          <w:color w:val="232323"/>
          <w:sz w:val="17"/>
        </w:rPr>
        <w:t xml:space="preserve">[R9] Thompson RJ, et al. Emotion Differentiation in Current and Remitted Major Depressive Disorder. Frontiers in Psychology. 2021. PMID 34539489. </w:t>
      </w:r>
      <w:hyperlink r:id="rId21">
        <w:r>
          <w:rPr>
            <w:color w:val="2F5F80"/>
            <w:u w:val="single"/>
            <w:rFonts w:eastAsia="Noto Sans CJK SC" w:ascii="Noto Sans CJK SC"/>
          </w:rPr>
          <w:t>PubMed 34539489</w:t>
        </w:r>
      </w:hyperlink>
    </w:p>
    <w:p>
      <w:pPr>
        <w:ind w:firstLine="0" w:left="198"/>
      </w:pPr>
      <w:r>
        <w:rPr>
          <w:rFonts w:ascii="Noto Serif CJK SC" w:hAnsi="Noto Serif CJK SC" w:eastAsia="Noto Serif CJK SC"/>
          <w:color w:val="232323"/>
          <w:sz w:val="17"/>
        </w:rPr>
        <w:t xml:space="preserve">[R10] Drury N, et al. Characterizing emotion dynamics in remitted depression: a network approach using ecological momentary assessment. 2026. PMID 42211737. </w:t>
      </w:r>
      <w:hyperlink r:id="rId18">
        <w:r>
          <w:rPr>
            <w:color w:val="2F5F80"/>
            <w:u w:val="single"/>
            <w:rFonts w:eastAsia="Noto Sans CJK SC" w:ascii="Noto Sans CJK SC"/>
          </w:rPr>
          <w:t>PubMed 42211737</w:t>
        </w:r>
      </w:hyperlink>
    </w:p>
    <w:p>
      <w:pPr>
        <w:ind w:firstLine="0" w:left="198"/>
      </w:pPr>
      <w:r>
        <w:rPr>
          <w:rFonts w:ascii="Noto Serif CJK SC" w:hAnsi="Noto Serif CJK SC" w:eastAsia="Noto Serif CJK SC"/>
          <w:color w:val="232323"/>
          <w:sz w:val="17"/>
        </w:rPr>
        <w:t xml:space="preserve">[R11] Pessiglione M, et al. Origins and consequences of cognitive fatigue. Trends in Cognitive Sciences. 2025. PMID 40169294; DOI 10.1016/j.tics.2025.02.005. </w:t>
      </w:r>
      <w:hyperlink r:id="rId22">
        <w:r>
          <w:rPr>
            <w:color w:val="2F5F80"/>
            <w:u w:val="single"/>
            <w:rFonts w:eastAsia="Noto Sans CJK SC" w:ascii="Noto Sans CJK SC"/>
          </w:rPr>
          <w:t>PubMed 40169294</w:t>
        </w:r>
      </w:hyperlink>
    </w:p>
    <w:p>
      <w:pPr>
        <w:ind w:firstLine="0" w:left="198"/>
      </w:pPr>
      <w:r>
        <w:rPr>
          <w:rFonts w:ascii="Noto Serif CJK SC" w:hAnsi="Noto Serif CJK SC" w:eastAsia="Noto Serif CJK SC"/>
          <w:color w:val="232323"/>
          <w:sz w:val="17"/>
        </w:rPr>
        <w:t xml:space="preserve">[R12] Basu N, et al. The role of pain, perseverative cognition and goal adjustment in vasculitis-associated fatigue. 2016. PMID 27302605; DOI 10.1177/1359105316652466. </w:t>
      </w:r>
      <w:hyperlink r:id="rId23">
        <w:r>
          <w:rPr>
            <w:color w:val="2F5F80"/>
            <w:u w:val="single"/>
            <w:rFonts w:eastAsia="Noto Sans CJK SC" w:ascii="Noto Sans CJK SC"/>
          </w:rPr>
          <w:t>PubMed 27302605</w:t>
        </w:r>
      </w:hyperlink>
    </w:p>
    <w:p>
      <w:pPr>
        <w:ind w:firstLine="0" w:left="198"/>
      </w:pPr>
      <w:r>
        <w:rPr>
          <w:rFonts w:ascii="Noto Serif CJK SC" w:hAnsi="Noto Serif CJK SC" w:eastAsia="Noto Serif CJK SC"/>
          <w:color w:val="232323"/>
          <w:sz w:val="17"/>
        </w:rPr>
        <w:t xml:space="preserve">[R13] Self-blame-selective social conceptual overgeneralisation and vulnerability to depression. Cortex. 2026. PMID 41831385; DOI 10.1016/j.cortex.2026.02.018. </w:t>
      </w:r>
      <w:hyperlink r:id="rId24">
        <w:r>
          <w:rPr>
            <w:color w:val="2F5F80"/>
            <w:u w:val="single"/>
            <w:rFonts w:eastAsia="Noto Sans CJK SC" w:ascii="Noto Sans CJK SC"/>
          </w:rPr>
          <w:t>PubMed 41831385</w:t>
        </w:r>
      </w:hyperlink>
    </w:p>
    <w:p>
      <w:pPr>
        <w:ind w:firstLine="0" w:left="198"/>
      </w:pPr>
      <w:r>
        <w:rPr>
          <w:rFonts w:ascii="Noto Serif CJK SC" w:hAnsi="Noto Serif CJK SC" w:eastAsia="Noto Serif CJK SC"/>
          <w:color w:val="232323"/>
          <w:sz w:val="17"/>
        </w:rPr>
        <w:t xml:space="preserve">[R14] Early Warning Signals Based on Momentary Affect Dynamics can Expose Nearby Transitions in Depression: A Confirmatory Single-Subject Time-Series Study. 2021. PMID 33569148. </w:t>
      </w:r>
      <w:hyperlink r:id="rId25">
        <w:r>
          <w:rPr>
            <w:color w:val="2F5F80"/>
            <w:u w:val="single"/>
            <w:rFonts w:eastAsia="Noto Sans CJK SC" w:ascii="Noto Sans CJK SC"/>
          </w:rPr>
          <w:t>PubMed 33569148</w:t>
        </w:r>
      </w:hyperlink>
    </w:p>
    <w:p>
      <w:pPr>
        <w:ind w:firstLine="0" w:left="198"/>
      </w:pPr>
      <w:r>
        <w:rPr>
          <w:rFonts w:ascii="Noto Serif CJK SC" w:hAnsi="Noto Serif CJK SC" w:eastAsia="Noto Serif CJK SC"/>
          <w:color w:val="232323"/>
          <w:sz w:val="17"/>
        </w:rPr>
        <w:t xml:space="preserve">[R15] Examining the research methods of early warning signals in clinical psychology through a theoretical lens. 2025. PMID 40108573. </w:t>
      </w:r>
      <w:hyperlink r:id="rId26">
        <w:r>
          <w:rPr>
            <w:color w:val="2F5F80"/>
            <w:u w:val="single"/>
            <w:rFonts w:eastAsia="Noto Sans CJK SC" w:ascii="Noto Sans CJK SC"/>
          </w:rPr>
          <w:t>PubMed 40108573</w:t>
        </w:r>
      </w:hyperlink>
    </w:p>
    <w:p>
      <w:pPr>
        <w:ind w:firstLine="0" w:left="198"/>
      </w:pPr>
      <w:r>
        <w:rPr>
          <w:rFonts w:ascii="Noto Serif CJK SC" w:hAnsi="Noto Serif CJK SC" w:eastAsia="Noto Serif CJK SC"/>
          <w:color w:val="232323"/>
          <w:sz w:val="17"/>
        </w:rPr>
        <w:t xml:space="preserve">[R16] Yuan Z, et al. A circuit-based framework for depression: Reshaping the pathological attractor. Neuron. 2026. PMID 42092365; DOI 10.1016/j.neuron.2026.04.009. </w:t>
      </w:r>
      <w:hyperlink r:id="rId27">
        <w:r>
          <w:rPr>
            <w:color w:val="2F5F80"/>
            <w:u w:val="single"/>
            <w:rFonts w:eastAsia="Noto Sans CJK SC" w:ascii="Noto Sans CJK SC"/>
          </w:rPr>
          <w:t>PubMed 42092365</w:t>
        </w:r>
      </w:hyperlink>
    </w:p>
    <w:p>
      <w:pPr>
        <w:ind w:firstLine="0" w:left="198"/>
      </w:pPr>
      <w:r>
        <w:rPr>
          <w:rFonts w:ascii="Noto Serif CJK SC" w:hAnsi="Noto Serif CJK SC" w:eastAsia="Noto Serif CJK SC"/>
          <w:color w:val="232323"/>
          <w:sz w:val="17"/>
        </w:rPr>
        <w:t xml:space="preserve">[R17] Okayama S, et al. Intolerance of uncertainty and psychological flexibility as predictors of mental health from adolescence to old age. Soc Psychiatry Psychiatr Epidemiol. 2024. PMID 38981933; DOI 10.1007/s00127-024-02724-z. </w:t>
      </w:r>
      <w:hyperlink r:id="rId28">
        <w:r>
          <w:rPr>
            <w:color w:val="2F5F80"/>
            <w:u w:val="single"/>
            <w:rFonts w:eastAsia="Noto Sans CJK SC" w:ascii="Noto Sans CJK SC"/>
          </w:rPr>
          <w:t>PubMed 38981933</w:t>
        </w:r>
      </w:hyperlink>
    </w:p>
    <w:p>
      <w:pPr>
        <w:ind w:firstLine="0" w:left="198"/>
      </w:pPr>
      <w:r>
        <w:rPr>
          <w:rFonts w:ascii="Noto Serif CJK SC" w:hAnsi="Noto Serif CJK SC" w:eastAsia="Noto Serif CJK SC"/>
          <w:color w:val="232323"/>
          <w:sz w:val="17"/>
        </w:rPr>
        <w:t xml:space="preserve">[R18] Mikkelsen MB, et al. The effect of age on emotion regulation patterns in daily life: Findings from an experience sampling study. Scandinavian Journal of Psychology. 2024. PMID 37750248; DOI 10.1111/sjop.12970. </w:t>
      </w:r>
      <w:hyperlink r:id="rId29">
        <w:r>
          <w:rPr>
            <w:color w:val="2F5F80"/>
            <w:u w:val="single"/>
            <w:rFonts w:eastAsia="Noto Sans CJK SC" w:ascii="Noto Sans CJK SC"/>
          </w:rPr>
          <w:t>PubMed 37750248</w:t>
        </w:r>
      </w:hyperlink>
    </w:p>
    <w:p>
      <w:pPr>
        <w:ind w:firstLine="0" w:left="198"/>
      </w:pPr>
      <w:r>
        <w:rPr>
          <w:rFonts w:ascii="Noto Serif CJK SC" w:hAnsi="Noto Serif CJK SC" w:eastAsia="Noto Serif CJK SC"/>
          <w:color w:val="232323"/>
          <w:sz w:val="17"/>
        </w:rPr>
        <w:t xml:space="preserve">[R19] Mak HW, et al. Hobby engagement and mental wellbeing among people aged 65 years and older in 16 countries. Nature Medicine. 2023. PMID 37696932; DOI 10.1038/s41591-023-02506-1. </w:t>
      </w:r>
      <w:hyperlink r:id="rId30">
        <w:r>
          <w:rPr>
            <w:color w:val="2F5F80"/>
            <w:u w:val="single"/>
            <w:rFonts w:eastAsia="Noto Sans CJK SC" w:ascii="Noto Sans CJK SC"/>
          </w:rPr>
          <w:t>PubMed 37696932</w:t>
        </w:r>
      </w:hyperlink>
    </w:p>
    <w:p>
      <w:pPr>
        <w:ind w:firstLine="0" w:left="198"/>
      </w:pPr>
      <w:r>
        <w:rPr>
          <w:rFonts w:ascii="Noto Serif CJK SC" w:hAnsi="Noto Serif CJK SC" w:eastAsia="Noto Serif CJK SC"/>
          <w:color w:val="232323"/>
          <w:sz w:val="17"/>
        </w:rPr>
        <w:t xml:space="preserve">[R20] Sulandari S, et al. Do depressive and anxiety symptoms vary across the adult life course and between genders? A cross-sectional cultural comparison between Indonesia and the UK. J Affect Disord. 2026. PMID 41628749; DOI 10.1016/j.jad.2026.121314. </w:t>
      </w:r>
      <w:hyperlink r:id="rId31">
        <w:r>
          <w:rPr>
            <w:color w:val="2F5F80"/>
            <w:u w:val="single"/>
            <w:rFonts w:eastAsia="Noto Sans CJK SC" w:ascii="Noto Sans CJK SC"/>
          </w:rPr>
          <w:t>PubMed 41628749</w:t>
        </w:r>
      </w:hyperlink>
    </w:p>
    <w:p>
      <w:pPr>
        <w:ind w:firstLine="0" w:left="198"/>
      </w:pPr>
      <w:r>
        <w:rPr>
          <w:rFonts w:ascii="Noto Serif CJK SC" w:hAnsi="Noto Serif CJK SC" w:eastAsia="Noto Serif CJK SC"/>
          <w:color w:val="232323"/>
          <w:sz w:val="17"/>
        </w:rPr>
        <w:t xml:space="preserve">[R21] Shim EJ, et al. Cultural differences in autonomy, social contacts, and sensory function for depression: A cross-national network analysis of older adults in England and South Korea. J Affect Disord. 2026. PMID 41429318; DOI 10.1016/j.jad.2025.120965. </w:t>
      </w:r>
      <w:hyperlink r:id="rId32">
        <w:r>
          <w:rPr>
            <w:color w:val="2F5F80"/>
            <w:u w:val="single"/>
            <w:rFonts w:eastAsia="Noto Sans CJK SC" w:ascii="Noto Sans CJK SC"/>
          </w:rPr>
          <w:t>PubMed 41429318</w:t>
        </w:r>
      </w:hyperlink>
    </w:p>
    <w:p>
      <w:pPr>
        <w:ind w:firstLine="0" w:left="198"/>
      </w:pPr>
      <w:r>
        <w:rPr>
          <w:rFonts w:ascii="Noto Serif CJK SC" w:hAnsi="Noto Serif CJK SC" w:eastAsia="Noto Serif CJK SC"/>
          <w:color w:val="232323"/>
          <w:sz w:val="17"/>
        </w:rPr>
        <w:t xml:space="preserve">[R22] Being stuck on negatives isn't equally bad: A cross-cultural Bayesian meta-analysis of rumination and its relation to depression. 2025. PMID 40339718. </w:t>
      </w:r>
      <w:hyperlink r:id="rId33">
        <w:r>
          <w:rPr>
            <w:color w:val="2F5F80"/>
            <w:u w:val="single"/>
            <w:rFonts w:eastAsia="Noto Sans CJK SC" w:ascii="Noto Sans CJK SC"/>
          </w:rPr>
          <w:t>PubMed 40339718</w:t>
        </w:r>
      </w:hyperlink>
    </w:p>
    <w:p>
      <w:pPr>
        <w:ind w:firstLine="0" w:left="198"/>
      </w:pPr>
      <w:r>
        <w:rPr>
          <w:rFonts w:ascii="Noto Serif CJK SC" w:hAnsi="Noto Serif CJK SC" w:eastAsia="Noto Serif CJK SC"/>
          <w:color w:val="232323"/>
          <w:sz w:val="17"/>
        </w:rPr>
        <w:t xml:space="preserve">[R23] Li JH, et al. Cross-Cultural Influences on the Association Between Rumination and Psychopathology: A Systematic Review. J Clin Psychol. 2026. PMID 41915409; DOI 10.1002/jclp.70135. </w:t>
      </w:r>
      <w:hyperlink r:id="rId34">
        <w:r>
          <w:rPr>
            <w:color w:val="2F5F80"/>
            <w:u w:val="single"/>
            <w:rFonts w:eastAsia="Noto Sans CJK SC" w:ascii="Noto Sans CJK SC"/>
          </w:rPr>
          <w:t>PubMed 41915409</w:t>
        </w:r>
      </w:hyperlink>
    </w:p>
    <w:p>
      <w:pPr>
        <w:ind w:firstLine="0" w:left="198"/>
      </w:pPr>
      <w:r>
        <w:rPr>
          <w:rFonts w:ascii="Noto Serif CJK SC" w:hAnsi="Noto Serif CJK SC" w:eastAsia="Noto Serif CJK SC"/>
          <w:color w:val="232323"/>
          <w:sz w:val="17"/>
        </w:rPr>
        <w:t xml:space="preserve">[R24] Yuliawati L, et al. Who I am and who I want to be: The positive effect of self-concept clarity on purpose, life satisfaction, and personal meaning among Chinese and Indonesian emerging adults. Curr Issues Pers Psychol. 2025. PMID 40235564; DOI 10.5114/cipp/188359. </w:t>
      </w:r>
      <w:hyperlink r:id="rId35">
        <w:r>
          <w:rPr>
            <w:color w:val="2F5F80"/>
            <w:u w:val="single"/>
            <w:rFonts w:eastAsia="Noto Sans CJK SC" w:ascii="Noto Sans CJK SC"/>
          </w:rPr>
          <w:t>PubMed 40235564</w:t>
        </w:r>
      </w:hyperlink>
    </w:p>
    <w:p>
      <w:pPr>
        <w:ind w:firstLine="0" w:left="198"/>
      </w:pPr>
      <w:r>
        <w:rPr>
          <w:rFonts w:ascii="Noto Serif CJK SC" w:hAnsi="Noto Serif CJK SC" w:eastAsia="Noto Serif CJK SC"/>
          <w:color w:val="232323"/>
          <w:sz w:val="17"/>
        </w:rPr>
        <w:t xml:space="preserve">[R25] Demographic variation in symptoms of depression and anxiety across 22 Global Flourishing Study countries. 2026. PMID 41513820. </w:t>
      </w:r>
      <w:hyperlink r:id="rId36">
        <w:r>
          <w:rPr>
            <w:color w:val="2F5F80"/>
            <w:u w:val="single"/>
            <w:rFonts w:eastAsia="Noto Sans CJK SC" w:ascii="Noto Sans CJK SC"/>
          </w:rPr>
          <w:t>PubMed 41513820</w:t>
        </w:r>
      </w:hyperlink>
    </w:p>
    <w:p>
      <w:pPr>
        <w:ind w:firstLine="0" w:left="198"/>
      </w:pPr>
      <w:r>
        <w:rPr>
          <w:rFonts w:ascii="Noto Serif CJK SC" w:hAnsi="Noto Serif CJK SC" w:eastAsia="Noto Serif CJK SC"/>
          <w:color w:val="232323"/>
          <w:sz w:val="17"/>
        </w:rPr>
        <w:t xml:space="preserve">[R26] The Global Flourishing Study: Study Profile and Initial Results on Flourishing. 2025/2026. PMID 40521104. </w:t>
      </w:r>
      <w:hyperlink r:id="rId37">
        <w:r>
          <w:rPr>
            <w:color w:val="2F5F80"/>
            <w:u w:val="single"/>
            <w:rFonts w:eastAsia="Noto Sans CJK SC" w:ascii="Noto Sans CJK SC"/>
          </w:rPr>
          <w:t>PubMed 40521104</w:t>
        </w:r>
      </w:hyperlink>
    </w:p>
    <w:p>
      <w:pPr>
        <w:ind w:firstLine="0" w:left="198"/>
      </w:pPr>
      <w:r>
        <w:rPr>
          <w:rFonts w:ascii="Noto Serif CJK SC" w:hAnsi="Noto Serif CJK SC" w:eastAsia="Noto Serif CJK SC"/>
          <w:color w:val="232323"/>
          <w:sz w:val="17"/>
        </w:rPr>
        <w:t xml:space="preserve">[R27] The psychometric network of individual flourishing across nationally representative samples from 22 countries. 2025. PMID 40825963. </w:t>
      </w:r>
      <w:hyperlink r:id="rId38">
        <w:r>
          <w:rPr>
            <w:color w:val="2F5F80"/>
            <w:u w:val="single"/>
            <w:rFonts w:eastAsia="Noto Sans CJK SC" w:ascii="Noto Sans CJK SC"/>
          </w:rPr>
          <w:t>PubMed 40825963</w:t>
        </w:r>
      </w:hyperlink>
    </w:p>
    <w:p/>
    <w:tbl>
      <w:tblPr>
        <w:tblW w:type="auto" w:w="0"/>
        <w:jc w:val="center"/>
        <w:tblLook w:firstColumn="1" w:firstRow="1" w:lastColumn="0" w:lastRow="0" w:noHBand="0" w:noVBand="1" w:val="04A0"/>
      </w:tblPr>
      <w:tblGrid>
        <w:gridCol w:w="9519"/>
      </w:tblGrid>
      <w:tr>
        <w:tc>
          <w:tcPr>
            <w:tcW w:type="dxa" w:w="9519"/>
            <w:shd w:fill="F3F7FA"/>
            <w:tcMar>
              <w:top w:w="120" w:type="dxa"/>
              <w:start w:w="160" w:type="dxa"/>
              <w:bottom w:w="120" w:type="dxa"/>
              <w:end w:w="160" w:type="dxa"/>
            </w:tcMar>
          </w:tcPr>
          <w:p>
            <w:pPr>
              <w:ind w:firstLine="0"/>
            </w:pPr>
            <w:r>
              <w:rPr>
                <w:rFonts w:ascii="Noto Sans CJK SC" w:hAnsi="Noto Sans CJK SC" w:eastAsia="Noto Sans CJK SC"/>
                <w:b/>
                <w:color w:val="1F364E"/>
                <w:sz w:val="20"/>
              </w:rPr>
              <w:t xml:space="preserve">资料来源说明  </w:t>
            </w:r>
            <w:r>
              <w:rPr>
                <w:rFonts w:ascii="Noto Serif CJK SC" w:hAnsi="Noto Serif CJK SC" w:eastAsia="Noto Serif CJK SC"/>
                <w:color w:val="232323"/>
                <w:sz w:val="19"/>
              </w:rPr>
              <w:t>内部来源为用户提供的精神现实主义原文/研究归档与第二份心理学研究报告；外部来源主要使用PubMed/PMC及期刊正式页面。公开论坛材料只用于匿名探索性预验证，本报告不公开可识别来源细节。</w:t>
            </w:r>
          </w:p>
        </w:tc>
      </w:tr>
    </w:tbl>
    <w:sectPr>
      <w:headerReference w:type="default" r:id="rId9"/>
      <w:footerReference w:type="default" r:id="rId10"/>
      <w:pgSz w:w="12240" w:h="15840"/>
      <w:pgMar w:top="1247" w:right="1304" w:bottom="1134" w:left="1417"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CJK SC" w:hAnsi="Noto Sans CJK SC" w:eastAsia="Noto Sans CJK SC"/>
        <w:color w:val="5C6A78"/>
        <w:sz w:val="17"/>
      </w:rPr>
      <w:t xml:space="preserve">冻结版 · 2026-09-23  ｜  第 </w:t>
    </w:r>
    <w:fldSimple w:instr="PAGE"/>
    <w:r>
      <w:rPr>
        <w:rFonts w:ascii="Noto Sans CJK SC" w:hAnsi="Noto Sans CJK SC" w:eastAsia="Noto Sans CJK SC"/>
        <w:color w:val="5C6A78"/>
        <w:sz w:val="17"/>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Noto Sans CJK SC" w:hAnsi="Noto Sans CJK SC" w:eastAsia="Noto Sans CJK SC"/>
        <w:color w:val="5C6A78"/>
        <w:sz w:val="17"/>
      </w:rPr>
      <w:t>精神现实主义研究｜系统发生论心理学总报告</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36" w:lineRule="auto" w:after="100"/>
      <w:ind w:firstLine="420"/>
    </w:pPr>
    <w:rPr>
      <w:rFonts w:ascii="Noto Serif CJK SC" w:hAnsi="Noto Serif CJK SC" w:eastAsia="Noto Serif CJK SC"/>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Noto Sans CJK SC" w:hAnsi="Noto Sans CJK SC" w:eastAsia="Noto Sans CJK SC"/>
      <w:b/>
      <w:bCs/>
      <w:color w:val="1F364E"/>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Noto Sans CJK SC" w:hAnsi="Noto Sans CJK SC" w:eastAsia="Noto Sans CJK SC"/>
      <w:b/>
      <w:bCs/>
      <w:color w:val="2D5F80"/>
      <w:sz w:val="26"/>
      <w:szCs w:val="26"/>
    </w:rPr>
  </w:style>
  <w:style w:type="paragraph" w:styleId="Heading3">
    <w:name w:val="heading 3"/>
    <w:basedOn w:val="Normal"/>
    <w:next w:val="Normal"/>
    <w:link w:val="Heading3Char"/>
    <w:uiPriority w:val="9"/>
    <w:unhideWhenUsed/>
    <w:qFormat/>
    <w:rsid w:val="00FC693F"/>
    <w:pPr>
      <w:keepNext/>
      <w:keepLines/>
      <w:spacing w:before="240" w:after="120"/>
      <w:outlineLvl w:val="2"/>
    </w:pPr>
    <w:rPr>
      <w:rFonts w:asciiTheme="majorHAnsi" w:eastAsiaTheme="majorEastAsia" w:hAnsiTheme="majorHAnsi" w:cstheme="majorBidi" w:ascii="Noto Sans CJK SC" w:hAnsi="Noto Sans CJK SC" w:eastAsia="Noto Sans CJK SC"/>
      <w:b/>
      <w:bCs/>
      <w:color w:val="1F364E"/>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CJK SC" w:hAnsi="Noto Sans CJK SC" w:eastAsia="Noto Sans CJK SC"/>
      <w:color w:val="1F364E"/>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Noto Sans CJK SC" w:hAnsi="Noto Sans CJK SC" w:eastAsia="Noto Sans CJK SC"/>
      <w:i/>
      <w:iCs/>
      <w:color w:val="5C6A78"/>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Equation">
    <w:name w:val="Equation"/>
    <w:pPr>
      <w:spacing w:before="100" w:after="100"/>
      <w:jc w:val="center"/>
    </w:pPr>
    <w:rPr>
      <w:rFonts w:ascii="FreeSerif" w:hAnsi="FreeSerif" w:eastAsia="Noto Serif CJK SC"/>
      <w:sz w:val="21"/>
    </w:rPr>
  </w:style>
  <w:style w:type="paragraph" w:customStyle="1" w:styleId="SmallNote">
    <w:name w:val="Small Note"/>
    <w:pPr>
      <w:spacing w:line="288" w:lineRule="auto" w:after="60"/>
      <w:ind w:firstLine="0"/>
    </w:pPr>
    <w:rPr>
      <w:rFonts w:ascii="Noto Serif CJK SC" w:hAnsi="Noto Serif CJK SC" w:eastAsia="Noto Serif CJK SC"/>
      <w:color w:val="5C6A78"/>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hyperlink" Target="https://pubmed.ncbi.nlm.nih.gov/41033262/" TargetMode="External"/><Relationship Id="rId14" Type="http://schemas.openxmlformats.org/officeDocument/2006/relationships/hyperlink" Target="https://pubmed.ncbi.nlm.nih.gov/41539131/" TargetMode="External"/><Relationship Id="rId15" Type="http://schemas.openxmlformats.org/officeDocument/2006/relationships/hyperlink" Target="https://pubmed.ncbi.nlm.nih.gov/42481225/" TargetMode="External"/><Relationship Id="rId16" Type="http://schemas.openxmlformats.org/officeDocument/2006/relationships/hyperlink" Target="https://pubmed.ncbi.nlm.nih.gov/42658635/" TargetMode="External"/><Relationship Id="rId17" Type="http://schemas.openxmlformats.org/officeDocument/2006/relationships/hyperlink" Target="https://pubmed.ncbi.nlm.nih.gov/38433585/" TargetMode="External"/><Relationship Id="rId18" Type="http://schemas.openxmlformats.org/officeDocument/2006/relationships/hyperlink" Target="https://pubmed.ncbi.nlm.nih.gov/42211737/" TargetMode="External"/><Relationship Id="rId19" Type="http://schemas.openxmlformats.org/officeDocument/2006/relationships/hyperlink" Target="https://pubmed.ncbi.nlm.nih.gov/42575859/" TargetMode="External"/><Relationship Id="rId20" Type="http://schemas.openxmlformats.org/officeDocument/2006/relationships/hyperlink" Target="https://pubmed.ncbi.nlm.nih.gov/41865891/" TargetMode="External"/><Relationship Id="rId21" Type="http://schemas.openxmlformats.org/officeDocument/2006/relationships/hyperlink" Target="https://pubmed.ncbi.nlm.nih.gov/34539489/" TargetMode="External"/><Relationship Id="rId22" Type="http://schemas.openxmlformats.org/officeDocument/2006/relationships/hyperlink" Target="https://pubmed.ncbi.nlm.nih.gov/40169294/" TargetMode="External"/><Relationship Id="rId23" Type="http://schemas.openxmlformats.org/officeDocument/2006/relationships/hyperlink" Target="https://pubmed.ncbi.nlm.nih.gov/27302605/" TargetMode="External"/><Relationship Id="rId24" Type="http://schemas.openxmlformats.org/officeDocument/2006/relationships/hyperlink" Target="https://pubmed.ncbi.nlm.nih.gov/41831385/" TargetMode="External"/><Relationship Id="rId25" Type="http://schemas.openxmlformats.org/officeDocument/2006/relationships/hyperlink" Target="https://pubmed.ncbi.nlm.nih.gov/33569148/" TargetMode="External"/><Relationship Id="rId26" Type="http://schemas.openxmlformats.org/officeDocument/2006/relationships/hyperlink" Target="https://pubmed.ncbi.nlm.nih.gov/40108573/" TargetMode="External"/><Relationship Id="rId27" Type="http://schemas.openxmlformats.org/officeDocument/2006/relationships/hyperlink" Target="https://pubmed.ncbi.nlm.nih.gov/42092365/" TargetMode="External"/><Relationship Id="rId28" Type="http://schemas.openxmlformats.org/officeDocument/2006/relationships/hyperlink" Target="https://pubmed.ncbi.nlm.nih.gov/38981933/" TargetMode="External"/><Relationship Id="rId29" Type="http://schemas.openxmlformats.org/officeDocument/2006/relationships/hyperlink" Target="https://pubmed.ncbi.nlm.nih.gov/37750248/" TargetMode="External"/><Relationship Id="rId30" Type="http://schemas.openxmlformats.org/officeDocument/2006/relationships/hyperlink" Target="https://pubmed.ncbi.nlm.nih.gov/37696932/" TargetMode="External"/><Relationship Id="rId31" Type="http://schemas.openxmlformats.org/officeDocument/2006/relationships/hyperlink" Target="https://pubmed.ncbi.nlm.nih.gov/41628749/" TargetMode="External"/><Relationship Id="rId32" Type="http://schemas.openxmlformats.org/officeDocument/2006/relationships/hyperlink" Target="https://pubmed.ncbi.nlm.nih.gov/41429318/" TargetMode="External"/><Relationship Id="rId33" Type="http://schemas.openxmlformats.org/officeDocument/2006/relationships/hyperlink" Target="https://pubmed.ncbi.nlm.nih.gov/40339718/" TargetMode="External"/><Relationship Id="rId34" Type="http://schemas.openxmlformats.org/officeDocument/2006/relationships/hyperlink" Target="https://pubmed.ncbi.nlm.nih.gov/41915409/" TargetMode="External"/><Relationship Id="rId35" Type="http://schemas.openxmlformats.org/officeDocument/2006/relationships/hyperlink" Target="https://pubmed.ncbi.nlm.nih.gov/40235564/" TargetMode="External"/><Relationship Id="rId36" Type="http://schemas.openxmlformats.org/officeDocument/2006/relationships/hyperlink" Target="https://pubmed.ncbi.nlm.nih.gov/41513820/" TargetMode="External"/><Relationship Id="rId37" Type="http://schemas.openxmlformats.org/officeDocument/2006/relationships/hyperlink" Target="https://pubmed.ncbi.nlm.nih.gov/40521104/" TargetMode="External"/><Relationship Id="rId38" Type="http://schemas.openxmlformats.org/officeDocument/2006/relationships/hyperlink" Target="https://pubmed.ncbi.nlm.nih.gov/4082596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发生—约束动力学：精神现实主义 / 系统发生论心理学总报告（冻结版）</dc:title>
  <dc:subject>系统发生论心理动力学、关系约束本体化、有效秩、回捕、年龄与文化反向验证</dc:subject>
  <dc:creator/>
  <cp:keywords>精神现实主义, 系统发生论, 心理学, 发生, 约束, 有效秩, 回捕, 时间, 自我</cp:keywords>
  <dc:description>generated by python-docx</dc:description>
  <cp:lastModifiedBy/>
  <cp:revision>1</cp:revision>
  <dcterms:created xsi:type="dcterms:W3CDTF">2013-12-23T23:15:00Z</dcterms:created>
  <dcterms:modified xsi:type="dcterms:W3CDTF">2013-12-23T23:15:00Z</dcterms:modified>
  <cp:category/>
</cp:coreProperties>
</file>