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val="0"/>
        </w:rPr>
        <w:t>研究接续 / 反向验证 / 方法修订</w:t>
      </w:r>
    </w:p>
    <w:p>
      <w:pPr>
        <w:pStyle w:val="Title"/>
      </w:pPr>
      <w:r>
        <w:t>差异怎样改变结局</w:t>
      </w:r>
    </w:p>
    <w:p>
      <w:pPr>
        <w:pStyle w:val="Subtitle"/>
      </w:pPr>
      <w:r>
        <w:rPr>
          <w:b w:val="0"/>
        </w:rPr>
        <w:t>对“同源而不复刻／异形而复轨”及“有效差异坍缩”的反向验证与模型修订</w:t>
      </w:r>
    </w:p>
    <w:p>
      <w:pPr>
        <w:pStyle w:val="Caption"/>
      </w:pPr>
      <w:r>
        <w:rPr>
          <w:b w:val="0"/>
        </w:rPr>
        <w:t>精神现实主义癌症研究报告  ·  V1.0  ·  2026年10月3日</w:t>
      </w:r>
    </w:p>
    <w:p>
      <w:pPr>
        <w:shd w:fill="EDF3F6"/>
        <w:keepLines/>
      </w:pPr>
      <w:r>
        <w:rPr>
          <w:b/>
          <w:color w:val="173B53"/>
          <w:sz w:val="22"/>
        </w:rPr>
        <w:t>本轮结论：保留生成问题，撤回万能判据。已完成原始论文核对、汇总数字复核和数学反例计算；未完成患者级原始数据复算、独立盲测或新临床试验。</w:t>
      </w:r>
    </w:p>
    <w:p>
      <w:pPr>
        <w:pStyle w:val="Heading2"/>
      </w:pPr>
      <w:r>
        <w:t>这一轮到底得到什么</w:t>
      </w:r>
    </w:p>
    <w:p>
      <w:r>
        <w:rPr>
          <w:b w:val="0"/>
        </w:rPr>
        <w:t>本轮沿前期癌症报告、《黄帝内经》研究及新上传的社会发生报告继续分析。要检验的不是不同患者是否有相同数值，也不是寻找一个共同的癌症“实体”，而是：不同变化怎样参与后续发生，何时支持恶性延续，何时能够改变它。三条研究线共享母结构，但不能据此彼此充当独立实验证据。[I1–I3]</w:t>
      </w:r>
    </w:p>
    <w:p>
      <w:r>
        <w:rPr>
          <w:b w:val="0"/>
        </w:rPr>
        <w:t>上一轮把“表面异质性升高、有效响应维数下降”提出为癌症进展的强候选。本轮发现，这个组合不能直接作为通用判据。数学上，方向完全相反的响应可以有完全相同的有效维数；改换测量单位也能改变常用的有效维数。生物学上，趋同、扩增、低多样性都必须结合细胞类型、作用对象和功能后果判断。[M1；E1–E3]</w:t>
      </w:r>
    </w:p>
    <w:p>
      <w:r>
        <w:rPr>
          <w:b w:val="0"/>
        </w:rPr>
        <w:t>真正可以保留的研究方向是：在每位患者自己的组织和治疗背景内，检验早期可测的关系变化，能否预示后续恶性再生长下降、正常功能保留，以及这种改变是否持续。“有效”必须由事先规定的实验读数衡量，不能看到患者好转以后，再把任何变化命名为“有效关系新生”。</w:t>
      </w:r>
    </w:p>
    <w:p>
      <w:pPr>
        <w:pStyle w:val="Heading2"/>
      </w:pPr>
      <w:r>
        <w:t>本报告的地位</w:t>
      </w:r>
    </w:p>
    <w:p>
      <w:r>
        <w:rPr>
          <w:b w:val="0"/>
        </w:rPr>
        <w:t>这是一份理论—方法—证据审计报告，不是已证实的新癌症理论。“反发生”“有痕不住”“异形而复轨”保留为体系术语；对应的生物学假说需逐项检验。此次确有方法学推进：找出了原先指标的盲点、文献比例的分母问题，以及患者数据不足以识别多扰动响应的条件；尚不能登记为重大临床突破。</w:t>
      </w:r>
    </w:p>
    <w:p>
      <w:pPr>
        <w:pStyle w:val="Caption"/>
      </w:pPr>
      <w:r>
        <w:rPr>
          <w:b w:val="0"/>
        </w:rPr>
        <w:t>研究资料：用户提供的三类内部文献、2026年PerturbFate原始论文、直肠癌纵向研究及其更正、肺癌克隆复苏研究，以及用户上传的GSK-3/BCL-XL论文。完整来源见末页。</w:t>
      </w:r>
    </w:p>
    <w:p>
      <w:r>
        <w:br w:type="page"/>
      </w:r>
    </w:p>
    <w:p>
      <w:pPr>
        <w:pStyle w:val="Heading1"/>
      </w:pPr>
      <w:r>
        <w:t>一、体系提供约束，不能替代实证</w:t>
      </w:r>
    </w:p>
    <w:p>
      <w:r>
        <w:rPr>
          <w:b w:val="0"/>
        </w:rPr>
        <w:t>《黄帝内经》研究将数值、观察位置、尺度、功能类型与单位绑定；同一数值并不自动是同一种量。它又区分纯换算的闭合与真实发生回返后的历史保留。这对本轮最直接的约束是：不能把TCR多样性、转录状态差异、扰动响应秩和未来可达性混为同一“差异”。[I2，第37—38章]</w:t>
      </w:r>
    </w:p>
    <w:p>
      <w:r>
        <w:rPr>
          <w:b w:val="0"/>
        </w:rPr>
        <w:t>社会报告的图1（文件第6页、正文第5页）同时呈现“生成区”和“碎片化区”：差异多而不能承接，不自动有益；接口统一也不等于内容同一化。这里支持的是一种研究纪律——考察差异如何被承接并产生作用，不是把“更不一样”设为健康分数。[I1，图1及第3.3节]</w:t>
      </w:r>
    </w:p>
    <w:p>
      <w:pPr>
        <w:shd w:fill="EDF3F6"/>
        <w:keepLines/>
      </w:pPr>
      <w:r>
        <w:rPr>
          <w:b/>
          <w:color w:val="173B53"/>
          <w:sz w:val="22"/>
        </w:rPr>
        <w:t>跨领域相容 ≠ 独立验证。社会报告的内部依据直接列出了前期癌症报告，因此不能把社会报告再当成一份独立生物学复现。</w:t>
      </w:r>
    </w:p>
    <w:p>
      <w:r>
        <w:rPr>
          <w:b w:val="0"/>
        </w:rPr>
        <w:t>相互参照仍有价值：一个分支暴露出的类型混淆或循环定义，可以要求其他分支一起修正。但社会案例中的人格、责任和敌人化，不能直接等同于细胞的生存与清除。由社会伦理不能推导“不应杀伤癌细胞”；由细胞竞争也不能推导对人群的伦理判断。[I1，第1.4节及附录B]</w:t>
      </w:r>
    </w:p>
    <w:p>
      <w:pPr>
        <w:pStyle w:val="Heading2"/>
      </w:pPr>
      <w:r>
        <w:t>“有效”一定要写明对谁、对什么</w:t>
      </w:r>
    </w:p>
    <w:p>
      <w:r>
        <w:rPr>
          <w:b w:val="0"/>
        </w:rPr>
        <w:t>耐药路径可能非常有效地帮助肿瘤存活，却不利于患者的组织功能。不能因为它仍然导致癌症，就说这些差异“没有任何后果”。更准确的用法是：它们有没有增加预先规定的抗肿瘤功能，有没有保留正常组织能力，有没有减少后续恶性重建。这里的不同终点不能相互顶替。</w:t>
      </w:r>
    </w:p>
    <w:p>
      <w:r>
        <w:rPr>
          <w:b w:val="0"/>
        </w:rPr>
        <w:t>同样，正常生命并非每次都需要更大的差异或全新的状态。“同源而不复刻”在本报告中约束的是持续响应与情境适配，不是要求每种刺激对应独一无二的输出，更不是要求所有患者回到同一个健康中心。若不同扰动经过不同补偿，最终都维持了相近的功能范围，不能仅凭终点相似判为“反发生”。</w:t>
      </w:r>
    </w:p>
    <w:p>
      <w:r>
        <w:rPr>
          <w:b w:val="0"/>
        </w:rPr>
        <w:t>本轮不把五、六、九或13500预设成真实肿瘤数据的维数、节律或治疗参数。内部数理解释与人体操作化属于不同证据层，原报告自身已经保留了这条边界。[I2，第38章第9.2节]</w:t>
      </w:r>
    </w:p>
    <w:p>
      <w:r>
        <w:br w:type="page"/>
      </w:r>
    </w:p>
    <w:p>
      <w:pPr>
        <w:pStyle w:val="Heading1"/>
      </w:pPr>
      <w:r>
        <w:t>二、数学压力测试：维数不等于方向</w:t>
      </w:r>
    </w:p>
    <w:p>
      <w:r>
        <w:rPr>
          <w:b w:val="0"/>
        </w:rPr>
        <w:t>为检查“有效响应维数越高越好”，本轮设定一个可直接复算的小任务：四种扰动分别指向两个坐标的正负方向，响应应补偿扰动。零残差仅表示这个示意任务被完成，不代表存在一个全人类统一健康状态。所有数值均为人工构造，不能当作患者结果。[M1]</w:t>
      </w:r>
    </w:p>
    <w:p>
      <w:r>
        <w:rPr>
          <w:b w:val="0"/>
        </w:rPr>
        <w:t>令 U={(1,0),(-1,0),(0,1),(0,-1)}。对响应矩阵R，采用平方奇异值归一化的谱熵维数：w_j=σ_j²/Σσ_k²，d_ent=exp(-Σw_j ln w_j)。此处明确采用这一约定，不把它视作“有效差异”唯一量表。</w:t>
      </w:r>
    </w:p>
    <w:tbl>
      <w:tblPr>
        <w:tblW w:type="auto" w:w="0"/>
        <w:jc w:val="center"/>
        <w:tblLayout w:type="fixed"/>
        <w:tblLook w:firstColumn="1" w:firstRow="1" w:lastColumn="0" w:lastRow="0" w:noHBand="0" w:noVBand="1" w:val="04A0"/>
      </w:tblPr>
      <w:tblGrid>
        <w:gridCol w:w="3402"/>
        <w:gridCol w:w="1417"/>
        <w:gridCol w:w="1417"/>
        <w:gridCol w:w="3317"/>
      </w:tblGrid>
      <w:tr>
        <w:trPr>
          <w:tblHeader/>
          <w:cantSplit/>
        </w:trPr>
        <w:tc>
          <w:tcPr>
            <w:tcW w:type="dxa" w:w="3402"/>
            <w:vAlign w:val="center"/>
            <w:shd w:fill="173B53"/>
            <w:tcMar>
              <w:top w:w="85" w:type="dxa"/>
              <w:left w:w="85" w:type="dxa"/>
              <w:bottom w:w="85" w:type="dxa"/>
              <w:right w:w="85" w:type="dxa"/>
            </w:tcMar>
          </w:tcPr>
          <w:p>
            <w:pPr>
              <w:spacing w:after="40" w:before="40" w:line="288" w:lineRule="auto"/>
            </w:pPr>
            <w:r>
              <w:rPr>
                <w:b/>
                <w:color w:val="FFFFFF"/>
                <w:sz w:val="19"/>
              </w:rPr>
              <w:t>示意情形</w:t>
            </w:r>
          </w:p>
        </w:tc>
        <w:tc>
          <w:tcPr>
            <w:tcW w:type="dxa" w:w="1417"/>
            <w:vAlign w:val="center"/>
            <w:shd w:fill="173B53"/>
            <w:tcMar>
              <w:top w:w="85" w:type="dxa"/>
              <w:left w:w="85" w:type="dxa"/>
              <w:bottom w:w="85" w:type="dxa"/>
              <w:right w:w="85" w:type="dxa"/>
            </w:tcMar>
          </w:tcPr>
          <w:p>
            <w:pPr>
              <w:spacing w:after="40" w:before="40" w:line="288" w:lineRule="auto"/>
            </w:pPr>
            <w:r>
              <w:rPr>
                <w:b/>
                <w:color w:val="FFFFFF"/>
                <w:sz w:val="19"/>
              </w:rPr>
              <w:t>谱熵维数</w:t>
            </w:r>
          </w:p>
        </w:tc>
        <w:tc>
          <w:tcPr>
            <w:tcW w:type="dxa" w:w="1417"/>
            <w:vAlign w:val="center"/>
            <w:shd w:fill="173B53"/>
            <w:tcMar>
              <w:top w:w="85" w:type="dxa"/>
              <w:left w:w="85" w:type="dxa"/>
              <w:bottom w:w="85" w:type="dxa"/>
              <w:right w:w="85" w:type="dxa"/>
            </w:tcMar>
          </w:tcPr>
          <w:p>
            <w:pPr>
              <w:spacing w:after="40" w:before="40" w:line="288" w:lineRule="auto"/>
            </w:pPr>
            <w:r>
              <w:rPr>
                <w:b/>
                <w:color w:val="FFFFFF"/>
                <w:sz w:val="19"/>
              </w:rPr>
              <w:t>任务残差</w:t>
            </w:r>
          </w:p>
        </w:tc>
        <w:tc>
          <w:tcPr>
            <w:tcW w:type="dxa" w:w="3317"/>
            <w:vAlign w:val="center"/>
            <w:shd w:fill="173B53"/>
            <w:tcMar>
              <w:top w:w="85" w:type="dxa"/>
              <w:left w:w="85" w:type="dxa"/>
              <w:bottom w:w="85" w:type="dxa"/>
              <w:right w:w="85" w:type="dxa"/>
            </w:tcMar>
          </w:tcPr>
          <w:p>
            <w:pPr>
              <w:spacing w:after="40" w:before="40" w:line="288" w:lineRule="auto"/>
            </w:pPr>
            <w:r>
              <w:rPr>
                <w:b/>
                <w:color w:val="FFFFFF"/>
                <w:sz w:val="19"/>
              </w:rPr>
              <w:t>说明</w:t>
            </w:r>
          </w:p>
        </w:tc>
      </w:tr>
      <w:tr>
        <w:trPr>
          <w:cantSplit/>
        </w:trPr>
        <w:tc>
          <w:tcPr>
            <w:tcW w:type="dxa" w:w="3402"/>
            <w:vAlign w:val="center"/>
            <w:shd w:fill="F0F4F6"/>
            <w:tcMar>
              <w:top w:w="85" w:type="dxa"/>
              <w:left w:w="85" w:type="dxa"/>
              <w:bottom w:w="85" w:type="dxa"/>
              <w:right w:w="85" w:type="dxa"/>
            </w:tcMar>
          </w:tcPr>
          <w:p>
            <w:pPr>
              <w:spacing w:after="40" w:before="40" w:line="288" w:lineRule="auto"/>
            </w:pPr>
            <w:r>
              <w:rPr>
                <w:sz w:val="19"/>
              </w:rPr>
              <w:t>R=-U：正确补偿</w:t>
            </w:r>
          </w:p>
        </w:tc>
        <w:tc>
          <w:tcPr>
            <w:tcW w:type="dxa" w:w="1417"/>
            <w:vAlign w:val="center"/>
            <w:shd w:fill="F0F4F6"/>
            <w:tcMar>
              <w:top w:w="85" w:type="dxa"/>
              <w:left w:w="85" w:type="dxa"/>
              <w:bottom w:w="85" w:type="dxa"/>
              <w:right w:w="85" w:type="dxa"/>
            </w:tcMar>
          </w:tcPr>
          <w:p>
            <w:pPr>
              <w:spacing w:after="40" w:before="40" w:line="288" w:lineRule="auto"/>
            </w:pPr>
            <w:r>
              <w:rPr>
                <w:sz w:val="19"/>
              </w:rPr>
              <w:t>2.000</w:t>
            </w:r>
          </w:p>
        </w:tc>
        <w:tc>
          <w:tcPr>
            <w:tcW w:type="dxa" w:w="1417"/>
            <w:vAlign w:val="center"/>
            <w:shd w:fill="F0F4F6"/>
            <w:tcMar>
              <w:top w:w="85" w:type="dxa"/>
              <w:left w:w="85" w:type="dxa"/>
              <w:bottom w:w="85" w:type="dxa"/>
              <w:right w:w="85" w:type="dxa"/>
            </w:tcMar>
          </w:tcPr>
          <w:p>
            <w:pPr>
              <w:spacing w:after="40" w:before="40" w:line="288" w:lineRule="auto"/>
            </w:pPr>
            <w:r>
              <w:rPr>
                <w:sz w:val="19"/>
              </w:rPr>
              <w:t>0.000</w:t>
            </w:r>
          </w:p>
        </w:tc>
        <w:tc>
          <w:tcPr>
            <w:tcW w:type="dxa" w:w="3317"/>
            <w:vAlign w:val="center"/>
            <w:shd w:fill="F0F4F6"/>
            <w:tcMar>
              <w:top w:w="85" w:type="dxa"/>
              <w:left w:w="85" w:type="dxa"/>
              <w:bottom w:w="85" w:type="dxa"/>
              <w:right w:w="85" w:type="dxa"/>
            </w:tcMar>
          </w:tcPr>
          <w:p>
            <w:pPr>
              <w:spacing w:after="40" w:before="40" w:line="288" w:lineRule="auto"/>
            </w:pPr>
            <w:r>
              <w:rPr>
                <w:sz w:val="19"/>
              </w:rPr>
              <w:t>扰动被抵消</w:t>
            </w:r>
          </w:p>
        </w:tc>
      </w:tr>
      <w:tr>
        <w:trPr>
          <w:cantSplit/>
        </w:trPr>
        <w:tc>
          <w:tcPr>
            <w:tcW w:type="dxa" w:w="3402"/>
            <w:vAlign w:val="center"/>
            <w:shd w:fill="FFFFFF"/>
            <w:tcMar>
              <w:top w:w="85" w:type="dxa"/>
              <w:left w:w="85" w:type="dxa"/>
              <w:bottom w:w="85" w:type="dxa"/>
              <w:right w:w="85" w:type="dxa"/>
            </w:tcMar>
          </w:tcPr>
          <w:p>
            <w:pPr>
              <w:spacing w:after="40" w:before="40" w:line="288" w:lineRule="auto"/>
            </w:pPr>
            <w:r>
              <w:rPr>
                <w:sz w:val="19"/>
              </w:rPr>
              <w:t>R=+U：反向放大</w:t>
            </w:r>
          </w:p>
        </w:tc>
        <w:tc>
          <w:tcPr>
            <w:tcW w:type="dxa" w:w="1417"/>
            <w:vAlign w:val="center"/>
            <w:shd w:fill="FFFFFF"/>
            <w:tcMar>
              <w:top w:w="85" w:type="dxa"/>
              <w:left w:w="85" w:type="dxa"/>
              <w:bottom w:w="85" w:type="dxa"/>
              <w:right w:w="85" w:type="dxa"/>
            </w:tcMar>
          </w:tcPr>
          <w:p>
            <w:pPr>
              <w:spacing w:after="40" w:before="40" w:line="288" w:lineRule="auto"/>
            </w:pPr>
            <w:r>
              <w:rPr>
                <w:sz w:val="19"/>
              </w:rPr>
              <w:t>2.000</w:t>
            </w:r>
          </w:p>
        </w:tc>
        <w:tc>
          <w:tcPr>
            <w:tcW w:type="dxa" w:w="1417"/>
            <w:vAlign w:val="center"/>
            <w:shd w:fill="FFFFFF"/>
            <w:tcMar>
              <w:top w:w="85" w:type="dxa"/>
              <w:left w:w="85" w:type="dxa"/>
              <w:bottom w:w="85" w:type="dxa"/>
              <w:right w:w="85" w:type="dxa"/>
            </w:tcMar>
          </w:tcPr>
          <w:p>
            <w:pPr>
              <w:spacing w:after="40" w:before="40" w:line="288" w:lineRule="auto"/>
            </w:pPr>
            <w:r>
              <w:rPr>
                <w:sz w:val="19"/>
              </w:rPr>
              <w:t>4.000</w:t>
            </w:r>
          </w:p>
        </w:tc>
        <w:tc>
          <w:tcPr>
            <w:tcW w:type="dxa" w:w="3317"/>
            <w:vAlign w:val="center"/>
            <w:shd w:fill="FFFFFF"/>
            <w:tcMar>
              <w:top w:w="85" w:type="dxa"/>
              <w:left w:w="85" w:type="dxa"/>
              <w:bottom w:w="85" w:type="dxa"/>
              <w:right w:w="85" w:type="dxa"/>
            </w:tcMar>
          </w:tcPr>
          <w:p>
            <w:pPr>
              <w:spacing w:after="40" w:before="40" w:line="288" w:lineRule="auto"/>
            </w:pPr>
            <w:r>
              <w:rPr>
                <w:sz w:val="19"/>
              </w:rPr>
              <w:t>维数相同，后果相反</w:t>
            </w:r>
          </w:p>
        </w:tc>
      </w:tr>
      <w:tr>
        <w:trPr>
          <w:cantSplit/>
        </w:trPr>
        <w:tc>
          <w:tcPr>
            <w:tcW w:type="dxa" w:w="3402"/>
            <w:vAlign w:val="center"/>
            <w:shd w:fill="F0F4F6"/>
            <w:tcMar>
              <w:top w:w="85" w:type="dxa"/>
              <w:left w:w="85" w:type="dxa"/>
              <w:bottom w:w="85" w:type="dxa"/>
              <w:right w:w="85" w:type="dxa"/>
            </w:tcMar>
          </w:tcPr>
          <w:p>
            <w:pPr>
              <w:spacing w:after="40" w:before="40" w:line="288" w:lineRule="auto"/>
            </w:pPr>
            <w:r>
              <w:rPr>
                <w:sz w:val="19"/>
              </w:rPr>
              <w:t>R=-10⁻⁶U：极微弱响应</w:t>
            </w:r>
          </w:p>
        </w:tc>
        <w:tc>
          <w:tcPr>
            <w:tcW w:type="dxa" w:w="1417"/>
            <w:vAlign w:val="center"/>
            <w:shd w:fill="F0F4F6"/>
            <w:tcMar>
              <w:top w:w="85" w:type="dxa"/>
              <w:left w:w="85" w:type="dxa"/>
              <w:bottom w:w="85" w:type="dxa"/>
              <w:right w:w="85" w:type="dxa"/>
            </w:tcMar>
          </w:tcPr>
          <w:p>
            <w:pPr>
              <w:spacing w:after="40" w:before="40" w:line="288" w:lineRule="auto"/>
            </w:pPr>
            <w:r>
              <w:rPr>
                <w:sz w:val="19"/>
              </w:rPr>
              <w:t>2.000</w:t>
            </w:r>
          </w:p>
        </w:tc>
        <w:tc>
          <w:tcPr>
            <w:tcW w:type="dxa" w:w="1417"/>
            <w:vAlign w:val="center"/>
            <w:shd w:fill="F0F4F6"/>
            <w:tcMar>
              <w:top w:w="85" w:type="dxa"/>
              <w:left w:w="85" w:type="dxa"/>
              <w:bottom w:w="85" w:type="dxa"/>
              <w:right w:w="85" w:type="dxa"/>
            </w:tcMar>
          </w:tcPr>
          <w:p>
            <w:pPr>
              <w:spacing w:after="40" w:before="40" w:line="288" w:lineRule="auto"/>
            </w:pPr>
            <w:r>
              <w:rPr>
                <w:sz w:val="19"/>
              </w:rPr>
              <w:t>约1.000</w:t>
            </w:r>
          </w:p>
        </w:tc>
        <w:tc>
          <w:tcPr>
            <w:tcW w:type="dxa" w:w="3317"/>
            <w:vAlign w:val="center"/>
            <w:shd w:fill="F0F4F6"/>
            <w:tcMar>
              <w:top w:w="85" w:type="dxa"/>
              <w:left w:w="85" w:type="dxa"/>
              <w:bottom w:w="85" w:type="dxa"/>
              <w:right w:w="85" w:type="dxa"/>
            </w:tcMar>
          </w:tcPr>
          <w:p>
            <w:pPr>
              <w:spacing w:after="40" w:before="40" w:line="288" w:lineRule="auto"/>
            </w:pPr>
            <w:r>
              <w:rPr>
                <w:sz w:val="19"/>
              </w:rPr>
              <w:t>维数不反映作用强度</w:t>
            </w:r>
          </w:p>
        </w:tc>
      </w:tr>
      <w:tr>
        <w:trPr>
          <w:cantSplit/>
        </w:trPr>
        <w:tc>
          <w:tcPr>
            <w:tcW w:type="dxa" w:w="3402"/>
            <w:vAlign w:val="center"/>
            <w:shd w:fill="FFFFFF"/>
            <w:tcMar>
              <w:top w:w="85" w:type="dxa"/>
              <w:left w:w="85" w:type="dxa"/>
              <w:bottom w:w="85" w:type="dxa"/>
              <w:right w:w="85" w:type="dxa"/>
            </w:tcMar>
          </w:tcPr>
          <w:p>
            <w:pPr>
              <w:spacing w:after="40" w:before="40" w:line="288" w:lineRule="auto"/>
            </w:pPr>
            <w:r>
              <w:rPr>
                <w:sz w:val="19"/>
              </w:rPr>
              <w:t>R=0：没有响应</w:t>
            </w:r>
          </w:p>
        </w:tc>
        <w:tc>
          <w:tcPr>
            <w:tcW w:type="dxa" w:w="1417"/>
            <w:vAlign w:val="center"/>
            <w:shd w:fill="FFFFFF"/>
            <w:tcMar>
              <w:top w:w="85" w:type="dxa"/>
              <w:left w:w="85" w:type="dxa"/>
              <w:bottom w:w="85" w:type="dxa"/>
              <w:right w:w="85" w:type="dxa"/>
            </w:tcMar>
          </w:tcPr>
          <w:p>
            <w:pPr>
              <w:spacing w:after="40" w:before="40" w:line="288" w:lineRule="auto"/>
            </w:pPr>
            <w:r>
              <w:rPr>
                <w:sz w:val="19"/>
              </w:rPr>
              <w:t>0（约定）</w:t>
            </w:r>
          </w:p>
        </w:tc>
        <w:tc>
          <w:tcPr>
            <w:tcW w:type="dxa" w:w="1417"/>
            <w:vAlign w:val="center"/>
            <w:shd w:fill="FFFFFF"/>
            <w:tcMar>
              <w:top w:w="85" w:type="dxa"/>
              <w:left w:w="85" w:type="dxa"/>
              <w:bottom w:w="85" w:type="dxa"/>
              <w:right w:w="85" w:type="dxa"/>
            </w:tcMar>
          </w:tcPr>
          <w:p>
            <w:pPr>
              <w:spacing w:after="40" w:before="40" w:line="288" w:lineRule="auto"/>
            </w:pPr>
            <w:r>
              <w:rPr>
                <w:sz w:val="19"/>
              </w:rPr>
              <w:t>1.000</w:t>
            </w:r>
          </w:p>
        </w:tc>
        <w:tc>
          <w:tcPr>
            <w:tcW w:type="dxa" w:w="3317"/>
            <w:vAlign w:val="center"/>
            <w:shd w:fill="FFFFFF"/>
            <w:tcMar>
              <w:top w:w="85" w:type="dxa"/>
              <w:left w:w="85" w:type="dxa"/>
              <w:bottom w:w="85" w:type="dxa"/>
              <w:right w:w="85" w:type="dxa"/>
            </w:tcMar>
          </w:tcPr>
          <w:p>
            <w:pPr>
              <w:spacing w:after="40" w:before="40" w:line="288" w:lineRule="auto"/>
            </w:pPr>
            <w:r>
              <w:rPr>
                <w:sz w:val="19"/>
              </w:rPr>
              <w:t>零矩阵单独处理</w:t>
            </w:r>
          </w:p>
        </w:tc>
      </w:tr>
      <w:tr>
        <w:trPr>
          <w:cantSplit/>
        </w:trPr>
        <w:tc>
          <w:tcPr>
            <w:tcW w:type="dxa" w:w="3402"/>
            <w:vAlign w:val="center"/>
            <w:shd w:fill="F0F4F6"/>
            <w:tcMar>
              <w:top w:w="85" w:type="dxa"/>
              <w:left w:w="85" w:type="dxa"/>
              <w:bottom w:w="85" w:type="dxa"/>
              <w:right w:w="85" w:type="dxa"/>
            </w:tcMar>
          </w:tcPr>
          <w:p>
            <w:pPr>
              <w:spacing w:after="40" w:before="40" w:line="288" w:lineRule="auto"/>
            </w:pPr>
            <w:r>
              <w:rPr>
                <w:sz w:val="19"/>
              </w:rPr>
              <w:t>正确补偿，仅一列单位×100</w:t>
            </w:r>
          </w:p>
        </w:tc>
        <w:tc>
          <w:tcPr>
            <w:tcW w:type="dxa" w:w="1417"/>
            <w:vAlign w:val="center"/>
            <w:shd w:fill="F0F4F6"/>
            <w:tcMar>
              <w:top w:w="85" w:type="dxa"/>
              <w:left w:w="85" w:type="dxa"/>
              <w:bottom w:w="85" w:type="dxa"/>
              <w:right w:w="85" w:type="dxa"/>
            </w:tcMar>
          </w:tcPr>
          <w:p>
            <w:pPr>
              <w:spacing w:after="40" w:before="40" w:line="288" w:lineRule="auto"/>
            </w:pPr>
            <w:r>
              <w:rPr>
                <w:sz w:val="19"/>
              </w:rPr>
              <w:t>1.001</w:t>
            </w:r>
          </w:p>
        </w:tc>
        <w:tc>
          <w:tcPr>
            <w:tcW w:type="dxa" w:w="1417"/>
            <w:vAlign w:val="center"/>
            <w:shd w:fill="F0F4F6"/>
            <w:tcMar>
              <w:top w:w="85" w:type="dxa"/>
              <w:left w:w="85" w:type="dxa"/>
              <w:bottom w:w="85" w:type="dxa"/>
              <w:right w:w="85" w:type="dxa"/>
            </w:tcMar>
          </w:tcPr>
          <w:p>
            <w:pPr>
              <w:spacing w:after="40" w:before="40" w:line="288" w:lineRule="auto"/>
            </w:pPr>
            <w:r>
              <w:rPr>
                <w:sz w:val="19"/>
              </w:rPr>
              <w:t>0.000</w:t>
            </w:r>
          </w:p>
        </w:tc>
        <w:tc>
          <w:tcPr>
            <w:tcW w:type="dxa" w:w="3317"/>
            <w:vAlign w:val="center"/>
            <w:shd w:fill="F0F4F6"/>
            <w:tcMar>
              <w:top w:w="85" w:type="dxa"/>
              <w:left w:w="85" w:type="dxa"/>
              <w:bottom w:w="85" w:type="dxa"/>
              <w:right w:w="85" w:type="dxa"/>
            </w:tcMar>
          </w:tcPr>
          <w:p>
            <w:pPr>
              <w:spacing w:after="40" w:before="40" w:line="288" w:lineRule="auto"/>
            </w:pPr>
            <w:r>
              <w:rPr>
                <w:sz w:val="19"/>
              </w:rPr>
              <w:t>物理效果不变，读数改变</w:t>
            </w:r>
          </w:p>
        </w:tc>
      </w:tr>
      <w:tr>
        <w:trPr>
          <w:cantSplit/>
        </w:trPr>
        <w:tc>
          <w:tcPr>
            <w:tcW w:type="dxa" w:w="3402"/>
            <w:vAlign w:val="center"/>
            <w:shd w:fill="FFFFFF"/>
            <w:tcMar>
              <w:top w:w="85" w:type="dxa"/>
              <w:left w:w="85" w:type="dxa"/>
              <w:bottom w:w="85" w:type="dxa"/>
              <w:right w:w="85" w:type="dxa"/>
            </w:tcMar>
          </w:tcPr>
          <w:p>
            <w:pPr>
              <w:spacing w:after="40" w:before="40" w:line="288" w:lineRule="auto"/>
            </w:pPr>
            <w:r>
              <w:rPr>
                <w:sz w:val="19"/>
              </w:rPr>
              <w:t>仅需一个方向的任务，正确完成</w:t>
            </w:r>
          </w:p>
        </w:tc>
        <w:tc>
          <w:tcPr>
            <w:tcW w:type="dxa" w:w="1417"/>
            <w:vAlign w:val="center"/>
            <w:shd w:fill="FFFFFF"/>
            <w:tcMar>
              <w:top w:w="85" w:type="dxa"/>
              <w:left w:w="85" w:type="dxa"/>
              <w:bottom w:w="85" w:type="dxa"/>
              <w:right w:w="85" w:type="dxa"/>
            </w:tcMar>
          </w:tcPr>
          <w:p>
            <w:pPr>
              <w:spacing w:after="40" w:before="40" w:line="288" w:lineRule="auto"/>
            </w:pPr>
            <w:r>
              <w:rPr>
                <w:sz w:val="19"/>
              </w:rPr>
              <w:t>1.000</w:t>
            </w:r>
          </w:p>
        </w:tc>
        <w:tc>
          <w:tcPr>
            <w:tcW w:type="dxa" w:w="1417"/>
            <w:vAlign w:val="center"/>
            <w:shd w:fill="FFFFFF"/>
            <w:tcMar>
              <w:top w:w="85" w:type="dxa"/>
              <w:left w:w="85" w:type="dxa"/>
              <w:bottom w:w="85" w:type="dxa"/>
              <w:right w:w="85" w:type="dxa"/>
            </w:tcMar>
          </w:tcPr>
          <w:p>
            <w:pPr>
              <w:spacing w:after="40" w:before="40" w:line="288" w:lineRule="auto"/>
            </w:pPr>
            <w:r>
              <w:rPr>
                <w:sz w:val="19"/>
              </w:rPr>
              <w:t>0.000</w:t>
            </w:r>
          </w:p>
        </w:tc>
        <w:tc>
          <w:tcPr>
            <w:tcW w:type="dxa" w:w="3317"/>
            <w:vAlign w:val="center"/>
            <w:shd w:fill="FFFFFF"/>
            <w:tcMar>
              <w:top w:w="85" w:type="dxa"/>
              <w:left w:w="85" w:type="dxa"/>
              <w:bottom w:w="85" w:type="dxa"/>
              <w:right w:w="85" w:type="dxa"/>
            </w:tcMar>
          </w:tcPr>
          <w:p>
            <w:pPr>
              <w:spacing w:after="40" w:before="40" w:line="288" w:lineRule="auto"/>
            </w:pPr>
            <w:r>
              <w:rPr>
                <w:sz w:val="19"/>
              </w:rPr>
              <w:t>低维也可适配任务</w:t>
            </w:r>
          </w:p>
        </w:tc>
      </w:tr>
    </w:tbl>
    <w:p>
      <w:r>
        <w:rPr>
          <w:b w:val="0"/>
        </w:rPr>
      </w:r>
    </w:p>
    <w:p>
      <w:r>
        <w:rPr>
          <w:b w:val="0"/>
        </w:rPr>
        <w:t>关键等式是(-R)ᵀ(-R)=RᵀR。因此，R与-R具有相同奇异值；只依赖奇异值的指标无法分辨响应是在纠正还是放大扰动。这是构造反例，不是对真实人体的模拟验证。代数秩在可逆单位变换下保持，但谱熵“有效维数”通常不保持；二者也不能混称。</w:t>
      </w:r>
    </w:p>
    <w:p>
      <w:r>
        <w:rPr>
          <w:b w:val="0"/>
        </w:rPr>
        <w:t>由此撤回的只是我们附加的万能读数：“低秩就是反发生，高秩就是健康”。保留下来的是更严格的问题：响应的方向、幅度、时间和功能后果是什么？只有预先确定尺度与任务，才有资格比较维数。以上并不证明癌症中从不出现响应压缩，而是证明单靠压缩不足以判定癌症或健康。</w:t>
      </w:r>
    </w:p>
    <w:p>
      <w:pPr>
        <w:pStyle w:val="Caption"/>
      </w:pPr>
      <w:r>
        <w:rPr>
          <w:b w:val="0"/>
        </w:rPr>
        <w:t>复算材料：synthetic_stress_tests.csv、synthetic_stimuli.csv、reproduce.py。六种情形全部保留，没有筛选命中例。</w:t>
      </w:r>
    </w:p>
    <w:p>
      <w:r>
        <w:br w:type="page"/>
      </w:r>
    </w:p>
    <w:p>
      <w:pPr>
        <w:pStyle w:val="Heading1"/>
      </w:pPr>
      <w:r>
        <w:t>三、前沿对照：趋同真实，分母必须完整</w:t>
      </w:r>
    </w:p>
    <w:p>
      <w:r>
        <w:rPr>
          <w:b w:val="0"/>
        </w:rPr>
        <w:t>PerturbFate原始研究在培养的A375黑色素瘤细胞中研究耐药相关扰动。主要轨迹分析保留119项扰动；52项显著改变轨迹位置，其中46项向未分化方向移动，33项表现为未分化状态的显著富集。它确实支持“不同分子干预可趋向相近状态”，但不能等同于全部癌症、全部扰动都会复轨。[E1]</w:t>
      </w:r>
    </w:p>
    <w:tbl>
      <w:tblPr>
        <w:tblW w:type="auto" w:w="0"/>
        <w:jc w:val="center"/>
        <w:tblLayout w:type="fixed"/>
        <w:tblLook w:firstColumn="1" w:firstRow="1" w:lastColumn="0" w:lastRow="0" w:noHBand="0" w:noVBand="1" w:val="04A0"/>
      </w:tblPr>
      <w:tblGrid>
        <w:gridCol w:w="5102"/>
        <w:gridCol w:w="2211"/>
        <w:gridCol w:w="2239"/>
      </w:tblGrid>
      <w:tr>
        <w:trPr>
          <w:tblHeader/>
          <w:cantSplit/>
        </w:trPr>
        <w:tc>
          <w:tcPr>
            <w:tcW w:type="dxa" w:w="5102"/>
            <w:vAlign w:val="center"/>
            <w:shd w:fill="173B53"/>
            <w:tcMar>
              <w:top w:w="85" w:type="dxa"/>
              <w:left w:w="85" w:type="dxa"/>
              <w:bottom w:w="85" w:type="dxa"/>
              <w:right w:w="85" w:type="dxa"/>
            </w:tcMar>
          </w:tcPr>
          <w:p>
            <w:pPr>
              <w:spacing w:after="40" w:before="40" w:line="288" w:lineRule="auto"/>
            </w:pPr>
            <w:r>
              <w:rPr>
                <w:b/>
                <w:color w:val="FFFFFF"/>
                <w:sz w:val="19"/>
              </w:rPr>
              <w:t>所问问题</w:t>
            </w:r>
          </w:p>
        </w:tc>
        <w:tc>
          <w:tcPr>
            <w:tcW w:type="dxa" w:w="2211"/>
            <w:vAlign w:val="center"/>
            <w:shd w:fill="173B53"/>
            <w:tcMar>
              <w:top w:w="85" w:type="dxa"/>
              <w:left w:w="85" w:type="dxa"/>
              <w:bottom w:w="85" w:type="dxa"/>
              <w:right w:w="85" w:type="dxa"/>
            </w:tcMar>
          </w:tcPr>
          <w:p>
            <w:pPr>
              <w:spacing w:after="40" w:before="40" w:line="288" w:lineRule="auto"/>
            </w:pPr>
            <w:r>
              <w:rPr>
                <w:b/>
                <w:color w:val="FFFFFF"/>
                <w:sz w:val="19"/>
              </w:rPr>
              <w:t>公开计数</w:t>
            </w:r>
          </w:p>
        </w:tc>
        <w:tc>
          <w:tcPr>
            <w:tcW w:type="dxa" w:w="2239"/>
            <w:vAlign w:val="center"/>
            <w:shd w:fill="173B53"/>
            <w:tcMar>
              <w:top w:w="85" w:type="dxa"/>
              <w:left w:w="85" w:type="dxa"/>
              <w:bottom w:w="85" w:type="dxa"/>
              <w:right w:w="85" w:type="dxa"/>
            </w:tcMar>
          </w:tcPr>
          <w:p>
            <w:pPr>
              <w:spacing w:after="40" w:before="40" w:line="288" w:lineRule="auto"/>
            </w:pPr>
            <w:r>
              <w:rPr>
                <w:b/>
                <w:color w:val="FFFFFF"/>
                <w:sz w:val="19"/>
              </w:rPr>
              <w:t>本轮算术</w:t>
            </w:r>
          </w:p>
        </w:tc>
      </w:tr>
      <w:tr>
        <w:trPr>
          <w:cantSplit/>
        </w:trPr>
        <w:tc>
          <w:tcPr>
            <w:tcW w:type="dxa" w:w="5102"/>
            <w:vAlign w:val="center"/>
            <w:shd w:fill="F0F4F6"/>
            <w:tcMar>
              <w:top w:w="85" w:type="dxa"/>
              <w:left w:w="85" w:type="dxa"/>
              <w:bottom w:w="85" w:type="dxa"/>
              <w:right w:w="85" w:type="dxa"/>
            </w:tcMar>
          </w:tcPr>
          <w:p>
            <w:pPr>
              <w:spacing w:after="40" w:before="40" w:line="288" w:lineRule="auto"/>
            </w:pPr>
            <w:r>
              <w:rPr>
                <w:sz w:val="19"/>
              </w:rPr>
              <w:t>显著改变轨迹的扰动中，多少向未分化方向？</w:t>
            </w:r>
          </w:p>
        </w:tc>
        <w:tc>
          <w:tcPr>
            <w:tcW w:type="dxa" w:w="2211"/>
            <w:vAlign w:val="center"/>
            <w:shd w:fill="F0F4F6"/>
            <w:tcMar>
              <w:top w:w="85" w:type="dxa"/>
              <w:left w:w="85" w:type="dxa"/>
              <w:bottom w:w="85" w:type="dxa"/>
              <w:right w:w="85" w:type="dxa"/>
            </w:tcMar>
          </w:tcPr>
          <w:p>
            <w:pPr>
              <w:spacing w:after="40" w:before="40" w:line="288" w:lineRule="auto"/>
            </w:pPr>
            <w:r>
              <w:rPr>
                <w:sz w:val="19"/>
              </w:rPr>
              <w:t>46/52</w:t>
            </w:r>
          </w:p>
        </w:tc>
        <w:tc>
          <w:tcPr>
            <w:tcW w:type="dxa" w:w="2239"/>
            <w:vAlign w:val="center"/>
            <w:shd w:fill="F0F4F6"/>
            <w:tcMar>
              <w:top w:w="85" w:type="dxa"/>
              <w:left w:w="85" w:type="dxa"/>
              <w:bottom w:w="85" w:type="dxa"/>
              <w:right w:w="85" w:type="dxa"/>
            </w:tcMar>
          </w:tcPr>
          <w:p>
            <w:pPr>
              <w:spacing w:after="40" w:before="40" w:line="288" w:lineRule="auto"/>
            </w:pPr>
            <w:r>
              <w:rPr>
                <w:sz w:val="19"/>
              </w:rPr>
              <w:t>88.46%</w:t>
            </w:r>
          </w:p>
        </w:tc>
      </w:tr>
      <w:tr>
        <w:trPr>
          <w:cantSplit/>
        </w:trPr>
        <w:tc>
          <w:tcPr>
            <w:tcW w:type="dxa" w:w="5102"/>
            <w:vAlign w:val="center"/>
            <w:shd w:fill="FFFFFF"/>
            <w:tcMar>
              <w:top w:w="85" w:type="dxa"/>
              <w:left w:w="85" w:type="dxa"/>
              <w:bottom w:w="85" w:type="dxa"/>
              <w:right w:w="85" w:type="dxa"/>
            </w:tcMar>
          </w:tcPr>
          <w:p>
            <w:pPr>
              <w:spacing w:after="40" w:before="40" w:line="288" w:lineRule="auto"/>
            </w:pPr>
            <w:r>
              <w:rPr>
                <w:sz w:val="19"/>
              </w:rPr>
              <w:t>全部119项保留扰动中，上述46项占多少？</w:t>
            </w:r>
          </w:p>
        </w:tc>
        <w:tc>
          <w:tcPr>
            <w:tcW w:type="dxa" w:w="2211"/>
            <w:vAlign w:val="center"/>
            <w:shd w:fill="FFFFFF"/>
            <w:tcMar>
              <w:top w:w="85" w:type="dxa"/>
              <w:left w:w="85" w:type="dxa"/>
              <w:bottom w:w="85" w:type="dxa"/>
              <w:right w:w="85" w:type="dxa"/>
            </w:tcMar>
          </w:tcPr>
          <w:p>
            <w:pPr>
              <w:spacing w:after="40" w:before="40" w:line="288" w:lineRule="auto"/>
            </w:pPr>
            <w:r>
              <w:rPr>
                <w:sz w:val="19"/>
              </w:rPr>
              <w:t>46/119</w:t>
            </w:r>
          </w:p>
        </w:tc>
        <w:tc>
          <w:tcPr>
            <w:tcW w:type="dxa" w:w="2239"/>
            <w:vAlign w:val="center"/>
            <w:shd w:fill="FFFFFF"/>
            <w:tcMar>
              <w:top w:w="85" w:type="dxa"/>
              <w:left w:w="85" w:type="dxa"/>
              <w:bottom w:w="85" w:type="dxa"/>
              <w:right w:w="85" w:type="dxa"/>
            </w:tcMar>
          </w:tcPr>
          <w:p>
            <w:pPr>
              <w:spacing w:after="40" w:before="40" w:line="288" w:lineRule="auto"/>
            </w:pPr>
            <w:r>
              <w:rPr>
                <w:sz w:val="19"/>
              </w:rPr>
              <w:t>38.66%</w:t>
            </w:r>
          </w:p>
        </w:tc>
      </w:tr>
      <w:tr>
        <w:trPr>
          <w:cantSplit/>
        </w:trPr>
        <w:tc>
          <w:tcPr>
            <w:tcW w:type="dxa" w:w="5102"/>
            <w:vAlign w:val="center"/>
            <w:shd w:fill="F0F4F6"/>
            <w:tcMar>
              <w:top w:w="85" w:type="dxa"/>
              <w:left w:w="85" w:type="dxa"/>
              <w:bottom w:w="85" w:type="dxa"/>
              <w:right w:w="85" w:type="dxa"/>
            </w:tcMar>
          </w:tcPr>
          <w:p>
            <w:pPr>
              <w:spacing w:after="40" w:before="40" w:line="288" w:lineRule="auto"/>
            </w:pPr>
            <w:r>
              <w:rPr>
                <w:sz w:val="19"/>
              </w:rPr>
              <w:t>全部保留扰动中，多少有显著轨迹变化？</w:t>
            </w:r>
          </w:p>
        </w:tc>
        <w:tc>
          <w:tcPr>
            <w:tcW w:type="dxa" w:w="2211"/>
            <w:vAlign w:val="center"/>
            <w:shd w:fill="F0F4F6"/>
            <w:tcMar>
              <w:top w:w="85" w:type="dxa"/>
              <w:left w:w="85" w:type="dxa"/>
              <w:bottom w:w="85" w:type="dxa"/>
              <w:right w:w="85" w:type="dxa"/>
            </w:tcMar>
          </w:tcPr>
          <w:p>
            <w:pPr>
              <w:spacing w:after="40" w:before="40" w:line="288" w:lineRule="auto"/>
            </w:pPr>
            <w:r>
              <w:rPr>
                <w:sz w:val="19"/>
              </w:rPr>
              <w:t>52/119</w:t>
            </w:r>
          </w:p>
        </w:tc>
        <w:tc>
          <w:tcPr>
            <w:tcW w:type="dxa" w:w="2239"/>
            <w:vAlign w:val="center"/>
            <w:shd w:fill="F0F4F6"/>
            <w:tcMar>
              <w:top w:w="85" w:type="dxa"/>
              <w:left w:w="85" w:type="dxa"/>
              <w:bottom w:w="85" w:type="dxa"/>
              <w:right w:w="85" w:type="dxa"/>
            </w:tcMar>
          </w:tcPr>
          <w:p>
            <w:pPr>
              <w:spacing w:after="40" w:before="40" w:line="288" w:lineRule="auto"/>
            </w:pPr>
            <w:r>
              <w:rPr>
                <w:sz w:val="19"/>
              </w:rPr>
              <w:t>43.70%</w:t>
            </w:r>
          </w:p>
        </w:tc>
      </w:tr>
      <w:tr>
        <w:trPr>
          <w:cantSplit/>
        </w:trPr>
        <w:tc>
          <w:tcPr>
            <w:tcW w:type="dxa" w:w="5102"/>
            <w:vAlign w:val="center"/>
            <w:shd w:fill="FFFFFF"/>
            <w:tcMar>
              <w:top w:w="85" w:type="dxa"/>
              <w:left w:w="85" w:type="dxa"/>
              <w:bottom w:w="85" w:type="dxa"/>
              <w:right w:w="85" w:type="dxa"/>
            </w:tcMar>
          </w:tcPr>
          <w:p>
            <w:pPr>
              <w:spacing w:after="40" w:before="40" w:line="288" w:lineRule="auto"/>
            </w:pPr>
            <w:r>
              <w:rPr>
                <w:sz w:val="19"/>
              </w:rPr>
              <w:t>全部保留扰动中，多少显著富集未分化状态？</w:t>
            </w:r>
          </w:p>
        </w:tc>
        <w:tc>
          <w:tcPr>
            <w:tcW w:type="dxa" w:w="2211"/>
            <w:vAlign w:val="center"/>
            <w:shd w:fill="FFFFFF"/>
            <w:tcMar>
              <w:top w:w="85" w:type="dxa"/>
              <w:left w:w="85" w:type="dxa"/>
              <w:bottom w:w="85" w:type="dxa"/>
              <w:right w:w="85" w:type="dxa"/>
            </w:tcMar>
          </w:tcPr>
          <w:p>
            <w:pPr>
              <w:spacing w:after="40" w:before="40" w:line="288" w:lineRule="auto"/>
            </w:pPr>
            <w:r>
              <w:rPr>
                <w:sz w:val="19"/>
              </w:rPr>
              <w:t>33/119</w:t>
            </w:r>
          </w:p>
        </w:tc>
        <w:tc>
          <w:tcPr>
            <w:tcW w:type="dxa" w:w="2239"/>
            <w:vAlign w:val="center"/>
            <w:shd w:fill="FFFFFF"/>
            <w:tcMar>
              <w:top w:w="85" w:type="dxa"/>
              <w:left w:w="85" w:type="dxa"/>
              <w:bottom w:w="85" w:type="dxa"/>
              <w:right w:w="85" w:type="dxa"/>
            </w:tcMar>
          </w:tcPr>
          <w:p>
            <w:pPr>
              <w:spacing w:after="40" w:before="40" w:line="288" w:lineRule="auto"/>
            </w:pPr>
            <w:r>
              <w:rPr>
                <w:sz w:val="19"/>
              </w:rPr>
              <w:t>27.73%</w:t>
            </w:r>
          </w:p>
        </w:tc>
      </w:tr>
    </w:tbl>
    <w:p>
      <w:r>
        <w:rPr>
          <w:b w:val="0"/>
        </w:rPr>
      </w:r>
    </w:p>
    <w:p>
      <w:r>
        <w:rPr>
          <w:b w:val="0"/>
        </w:rPr>
        <w:t>这是对作者公开汇总数字的分母复核，不是原始单细胞复算，也不是任何预测模型的准确率。未被列入46项，不等于已证明它们方向相反；“未显著”也不能被解释成“没有作用”。四个比例回答不同问题，不能只选最高的一个作理论命中率。[E1；M1]</w:t>
      </w:r>
    </w:p>
    <w:p>
      <w:r>
        <w:rPr>
          <w:b w:val="0"/>
        </w:rPr>
        <w:t>还有更重要的选择条件：这一基因集本来就是根据既往耐药筛选结果优先选出的，不是从所有可能的生物学扰动中随机抽样。研究主要通过横截面细胞状态、推断轨迹和后续生长表型建立联系；不能把推断轨迹画面说成逐个细胞撤药后真实回到同一轨道的连续拍摄。[E1，Methods]</w:t>
      </w:r>
    </w:p>
    <w:p>
      <w:pPr>
        <w:pStyle w:val="Heading2"/>
      </w:pPr>
      <w:r>
        <w:t>它对我们的真正启发</w:t>
      </w:r>
    </w:p>
    <w:p>
      <w:r>
        <w:rPr>
          <w:b w:val="0"/>
        </w:rPr>
        <w:t>差异与趋同可以共存，这为“异形而复轨”提供局部机制上的相容性；但论文自身已在做调控关系重建和联合干预。因而不能再声称现代研究只寻找静态对象、没有研究生成机制。我们的价值必须体现在额外约束、提前预测或更有效的实验设计，而不是把作者已经得到的网络结论换一个名称。</w:t>
      </w:r>
    </w:p>
    <w:p>
      <w:r>
        <w:rPr>
          <w:b w:val="0"/>
        </w:rPr>
        <w:t>这条证据目前允许保留的最强表述是：在特定基因背景和所选扰动集合中，多个不同输入可收敛到共同的耐药相关程序。它尚未检验“所有癌症都具有高异质性＋低响应维数”，也未检验患者复发提前量。</w:t>
      </w:r>
    </w:p>
    <w:p>
      <w:r>
        <w:br w:type="page"/>
      </w:r>
    </w:p>
    <w:p>
      <w:pPr>
        <w:pStyle w:val="Heading1"/>
      </w:pPr>
      <w:r>
        <w:t>四、医院患者证据：支持与反例同时登记</w:t>
      </w:r>
    </w:p>
    <w:p>
      <w:r>
        <w:rPr>
          <w:b w:val="0"/>
        </w:rPr>
        <w:t>2026年直肠癌研究监测22名患者，其中20名接受放疗联合抗PD-1治疗，18名提供纵向配对组学样本；收集85份新鲜样本，分析保留482,289个细胞。论文提出“克隆困陷”，将部分旧克隆的持续占优与较差反应联系起来。这是特定临床情境的证据，不是我们的患者盲预测。[E2]</w:t>
      </w:r>
    </w:p>
    <w:p>
      <w:pPr>
        <w:pStyle w:val="Heading2"/>
      </w:pPr>
      <w:r>
        <w:t>不能漏掉原论文的三个边界</w:t>
      </w:r>
    </w:p>
    <w:p>
      <w:r>
        <w:rPr>
          <w:b w:val="0"/>
        </w:rPr>
        <w:t>其一，最活化的CD8T_MHCII亚群反而具有较低的TCR克隆多样性，并在较好反应相关分组中更为富集。这说明克隆集中并不自动是失败。但TCR多样性不是多扰动响应秩，不能用这一结果直接“证明响应秩命题被否定”。正确用途是阻止不同类型的差异被混用。[E2，Fig.3]</w:t>
      </w:r>
    </w:p>
    <w:p>
      <w:r>
        <w:rPr>
          <w:b w:val="0"/>
        </w:rPr>
        <w:t>其二，旧克隆持续的某项患者层面对照报告P=0.067，不能称该项已得到确定统计验证；也不能把它直接理解为完全无效。其三，高HLA-DQA2并非必然不响应，原文仍有完全反应病例。由此不能把一个标签升级成对每个患者都成立的诊断规则。[E2]</w:t>
      </w:r>
    </w:p>
    <w:p>
      <w:r>
        <w:rPr>
          <w:b w:val="0"/>
        </w:rPr>
        <w:t>此外，2026年7月17日作者更正了治疗方案和采样安排，原作者说明其他方面不受影响。本报告按更正记录处理研究时序，不把更正当作整篇失效，也不沿用未校正时间线。[E2a]</w:t>
      </w:r>
    </w:p>
    <w:p>
      <w:pPr>
        <w:pStyle w:val="Heading2"/>
      </w:pPr>
      <w:r>
        <w:t>旧材料是否一定只会维持旧关系？</w:t>
      </w:r>
    </w:p>
    <w:p>
      <w:r>
        <w:rPr>
          <w:b w:val="0"/>
        </w:rPr>
        <w:t>不是。肺癌的纵向研究对36名患者的47份活检进行单细胞与TCR分析，提出“克隆复苏”：响应相关的前体耗竭T细胞可来自新克隆，也可来自既有克隆的扩增与外周补充。这支持“材料新旧不能直接判定功能新旧”。该研究亦明确未盲化；不能因其是医院数据，就称为本项目独立盲测。[E3]</w:t>
      </w:r>
    </w:p>
    <w:p>
      <w:pPr>
        <w:shd w:fill="EDF3F6"/>
        <w:keepLines/>
      </w:pPr>
      <w:r>
        <w:rPr>
          <w:b/>
          <w:color w:val="173B53"/>
          <w:sz w:val="22"/>
        </w:rPr>
        <w:t>这些研究支持功能与情境的重要性，却没有直接验证本项目的N_rel、r_eff或“反发生”指标。已发表证据的二次阅读，不等于对未知结局作出预测。</w:t>
      </w:r>
    </w:p>
    <w:p>
      <w:r>
        <w:rPr>
          <w:b w:val="0"/>
        </w:rPr>
        <w:t>同样，用户上传的GSK-3/BCL-XL论文图4展示了共培养竞争关系的改变；图4D量化的是相对表面积贡献。它不能独自证明正常功能恢复、撤药后持久改变或患者治愈。本轮只核对图与方法，不将前期药物矩阵复算再算作新成果。[E4，PDF第6页]</w:t>
      </w:r>
    </w:p>
    <w:p>
      <w:r>
        <w:br w:type="page"/>
      </w:r>
    </w:p>
    <w:p>
      <w:pPr>
        <w:pStyle w:val="Heading1"/>
      </w:pPr>
      <w:r>
        <w:t>五、最后保留的问题：变化改变了什么</w:t>
      </w:r>
    </w:p>
    <w:p>
      <w:r>
        <w:rPr>
          <w:b w:val="0"/>
        </w:rPr>
        <w:t>最底层不能再放一个“差异数”“生成权”或“关系新生总分”。本轮保留原术语，但把生物学任务收束为：在明确的组织与干预条件下，早期关系变化能否改变后续恶性重建，同时保留正常功能？不要求每个人得到同一投影，也不把观察到的每次相似都称为病理。</w:t>
      </w:r>
    </w:p>
    <w:p>
      <w:pPr>
        <w:shd w:fill="EDF3F6"/>
        <w:keepLines/>
      </w:pPr>
      <w:r>
        <w:rPr>
          <w:b/>
          <w:color w:val="173B53"/>
          <w:sz w:val="22"/>
        </w:rPr>
        <w:t>可检验假说：在相近早期残余肿瘤负荷下，某些可独立测量的作用传递与功能改变，可能比“状态变化数量”更好地预测后续再生长；这一增量需在未参与建模的样本中成立。</w:t>
      </w:r>
    </w:p>
    <w:p>
      <w:pPr>
        <w:pStyle w:val="Heading2"/>
      </w:pPr>
      <w:r>
        <w:t>将失败位置分开，才可能形成干预线索</w:t>
      </w:r>
    </w:p>
    <w:p>
      <w:r>
        <w:rPr>
          <w:b w:val="0"/>
        </w:rPr>
        <w:t>第一，输入没有到达或没有触发目标。比如干预暴露不足、关键作用对象缺失。这时“没有新响应”不能归因为旧轨迹不可改写。第二，输入触发了局部变化，却没有形成所需功能；应区分识别、传递与执行环节。第三，短期功能改变已经出现，但后续恶性关系重建。三者需要不同证据，不能统称“反发生”。这些只是实验观察接口，不是将本气、中气、余气硬配成三股物质或三段流水线。</w:t>
      </w:r>
    </w:p>
    <w:p>
      <w:r>
        <w:rPr>
          <w:b w:val="0"/>
        </w:rPr>
        <w:t>在肿瘤免疫场景，早期读数可以包括抗原依赖杀伤、实际浸润和不同细胞协同的变化，并以单独培养、共培养、无刺激及有效刺激对照区分环节；它们必须在未来结局揭晓前测定。仅根据表达相关推断出的“通讯增强”，不足以证明两种细胞之间发生了因果传递。</w:t>
      </w:r>
    </w:p>
    <w:p>
      <w:pPr>
        <w:pStyle w:val="Heading2"/>
      </w:pPr>
      <w:r>
        <w:t>避免把“有效”定义成答案本身</w:t>
      </w:r>
    </w:p>
    <w:p>
      <w:r>
        <w:rPr>
          <w:b w:val="0"/>
        </w:rPr>
        <w:t>早期关系特征记作X(t₁)，后续独立功能或临床结局记作Y(t₂)。应检验X能否预测Y，而不能用Y反过来定义X。若规定“最后治好的变化都叫有效关系新生”，再发现这种新生预测治好，就是循环论证；若把所有存活肿瘤都归为同一功能类别，再宣布不同路径都复轨，也不能算新的经验发现。</w:t>
      </w:r>
    </w:p>
    <w:p>
      <w:r>
        <w:rPr>
          <w:b w:val="0"/>
        </w:rPr>
        <w:t>若新指标N=f(X)只是从已有数据X确定计算出的变换，它并不凭空增加信息：I(Y;N|X)=0。它仍可能改善有限样本中的学习效率、解释性或实验设计，但不能仅凭加了一项变换后预测变好，就宣称动态系统理论无法解释。理论的新增价值必须具体说明落在哪一层。</w:t>
      </w:r>
    </w:p>
    <w:p>
      <w:r>
        <w:br w:type="page"/>
      </w:r>
    </w:p>
    <w:p>
      <w:pPr>
        <w:pStyle w:val="Heading1"/>
      </w:pPr>
      <w:r>
        <w:t>六、下一轮验证：先做能识别的问题</w:t>
      </w:r>
    </w:p>
    <w:p>
      <w:r>
        <w:rPr>
          <w:b w:val="0"/>
        </w:rPr>
        <w:t>最合适的起点不是用极少患者强行训练通用大模型，而是具有多类干预与独立重复的患者来源前临床体系。每位患者的组织在同一批次分配到不同条件，尽可能同时保留正常组织参照；不同患者的量表与基线可不同，但比较条件和功能定义必须公开。所有安排需要相应伦理与研究许可。</w:t>
      </w:r>
    </w:p>
    <w:tbl>
      <w:tblPr>
        <w:tblW w:type="auto" w:w="0"/>
        <w:jc w:val="center"/>
        <w:tblLayout w:type="fixed"/>
        <w:tblLook w:firstColumn="1" w:firstRow="1" w:lastColumn="0" w:lastRow="0" w:noHBand="0" w:noVBand="1" w:val="04A0"/>
      </w:tblPr>
      <w:tblGrid>
        <w:gridCol w:w="1701"/>
        <w:gridCol w:w="3969"/>
        <w:gridCol w:w="3883"/>
      </w:tblGrid>
      <w:tr>
        <w:trPr>
          <w:tblHeader/>
          <w:cantSplit/>
        </w:trPr>
        <w:tc>
          <w:tcPr>
            <w:tcW w:type="dxa" w:w="1701"/>
            <w:vAlign w:val="center"/>
            <w:shd w:fill="173B53"/>
            <w:tcMar>
              <w:top w:w="85" w:type="dxa"/>
              <w:left w:w="85" w:type="dxa"/>
              <w:bottom w:w="85" w:type="dxa"/>
              <w:right w:w="85" w:type="dxa"/>
            </w:tcMar>
          </w:tcPr>
          <w:p>
            <w:pPr>
              <w:spacing w:after="40" w:before="40" w:line="288" w:lineRule="auto"/>
            </w:pPr>
            <w:r>
              <w:rPr>
                <w:b/>
                <w:color w:val="FFFFFF"/>
                <w:sz w:val="19"/>
              </w:rPr>
              <w:t>时点／环节</w:t>
            </w:r>
          </w:p>
        </w:tc>
        <w:tc>
          <w:tcPr>
            <w:tcW w:type="dxa" w:w="3969"/>
            <w:vAlign w:val="center"/>
            <w:shd w:fill="173B53"/>
            <w:tcMar>
              <w:top w:w="85" w:type="dxa"/>
              <w:left w:w="85" w:type="dxa"/>
              <w:bottom w:w="85" w:type="dxa"/>
              <w:right w:w="85" w:type="dxa"/>
            </w:tcMar>
          </w:tcPr>
          <w:p>
            <w:pPr>
              <w:spacing w:after="40" w:before="40" w:line="288" w:lineRule="auto"/>
            </w:pPr>
            <w:r>
              <w:rPr>
                <w:b/>
                <w:color w:val="FFFFFF"/>
                <w:sz w:val="19"/>
              </w:rPr>
              <w:t>记录什么</w:t>
            </w:r>
          </w:p>
        </w:tc>
        <w:tc>
          <w:tcPr>
            <w:tcW w:type="dxa" w:w="3883"/>
            <w:vAlign w:val="center"/>
            <w:shd w:fill="173B53"/>
            <w:tcMar>
              <w:top w:w="85" w:type="dxa"/>
              <w:left w:w="85" w:type="dxa"/>
              <w:bottom w:w="85" w:type="dxa"/>
              <w:right w:w="85" w:type="dxa"/>
            </w:tcMar>
          </w:tcPr>
          <w:p>
            <w:pPr>
              <w:spacing w:after="40" w:before="40" w:line="288" w:lineRule="auto"/>
            </w:pPr>
            <w:r>
              <w:rPr>
                <w:b/>
                <w:color w:val="FFFFFF"/>
                <w:sz w:val="19"/>
              </w:rPr>
              <w:t>防止的误判</w:t>
            </w:r>
          </w:p>
        </w:tc>
      </w:tr>
      <w:tr>
        <w:trPr>
          <w:cantSplit/>
        </w:trPr>
        <w:tc>
          <w:tcPr>
            <w:tcW w:type="dxa" w:w="1701"/>
            <w:vAlign w:val="center"/>
            <w:shd w:fill="F0F4F6"/>
            <w:tcMar>
              <w:top w:w="85" w:type="dxa"/>
              <w:left w:w="85" w:type="dxa"/>
              <w:bottom w:w="85" w:type="dxa"/>
              <w:right w:w="85" w:type="dxa"/>
            </w:tcMar>
          </w:tcPr>
          <w:p>
            <w:pPr>
              <w:spacing w:after="40" w:before="40" w:line="288" w:lineRule="auto"/>
            </w:pPr>
            <w:r>
              <w:rPr>
                <w:sz w:val="19"/>
              </w:rPr>
              <w:t>干预前</w:t>
            </w:r>
          </w:p>
        </w:tc>
        <w:tc>
          <w:tcPr>
            <w:tcW w:type="dxa" w:w="3969"/>
            <w:vAlign w:val="center"/>
            <w:shd w:fill="F0F4F6"/>
            <w:tcMar>
              <w:top w:w="85" w:type="dxa"/>
              <w:left w:w="85" w:type="dxa"/>
              <w:bottom w:w="85" w:type="dxa"/>
              <w:right w:w="85" w:type="dxa"/>
            </w:tcMar>
          </w:tcPr>
          <w:p>
            <w:pPr>
              <w:spacing w:after="40" w:before="40" w:line="288" w:lineRule="auto"/>
            </w:pPr>
            <w:r>
              <w:rPr>
                <w:sz w:val="19"/>
              </w:rPr>
              <w:t>基因背景、实际细胞量、组织功能、处理批次</w:t>
            </w:r>
          </w:p>
        </w:tc>
        <w:tc>
          <w:tcPr>
            <w:tcW w:type="dxa" w:w="3883"/>
            <w:vAlign w:val="center"/>
            <w:shd w:fill="F0F4F6"/>
            <w:tcMar>
              <w:top w:w="85" w:type="dxa"/>
              <w:left w:w="85" w:type="dxa"/>
              <w:bottom w:w="85" w:type="dxa"/>
              <w:right w:w="85" w:type="dxa"/>
            </w:tcMar>
          </w:tcPr>
          <w:p>
            <w:pPr>
              <w:spacing w:after="40" w:before="40" w:line="288" w:lineRule="auto"/>
            </w:pPr>
            <w:r>
              <w:rPr>
                <w:sz w:val="19"/>
              </w:rPr>
              <w:t>把起点差异误当干预效应</w:t>
            </w:r>
          </w:p>
        </w:tc>
      </w:tr>
      <w:tr>
        <w:trPr>
          <w:cantSplit/>
        </w:trPr>
        <w:tc>
          <w:tcPr>
            <w:tcW w:type="dxa" w:w="1701"/>
            <w:vAlign w:val="center"/>
            <w:shd w:fill="FFFFFF"/>
            <w:tcMar>
              <w:top w:w="85" w:type="dxa"/>
              <w:left w:w="85" w:type="dxa"/>
              <w:bottom w:w="85" w:type="dxa"/>
              <w:right w:w="85" w:type="dxa"/>
            </w:tcMar>
          </w:tcPr>
          <w:p>
            <w:pPr>
              <w:spacing w:after="40" w:before="40" w:line="288" w:lineRule="auto"/>
            </w:pPr>
            <w:r>
              <w:rPr>
                <w:sz w:val="19"/>
              </w:rPr>
              <w:t>早期t₁</w:t>
            </w:r>
          </w:p>
        </w:tc>
        <w:tc>
          <w:tcPr>
            <w:tcW w:type="dxa" w:w="3969"/>
            <w:vAlign w:val="center"/>
            <w:shd w:fill="FFFFFF"/>
            <w:tcMar>
              <w:top w:w="85" w:type="dxa"/>
              <w:left w:w="85" w:type="dxa"/>
              <w:bottom w:w="85" w:type="dxa"/>
              <w:right w:w="85" w:type="dxa"/>
            </w:tcMar>
          </w:tcPr>
          <w:p>
            <w:pPr>
              <w:spacing w:after="40" w:before="40" w:line="288" w:lineRule="auto"/>
            </w:pPr>
            <w:r>
              <w:rPr>
                <w:sz w:val="19"/>
              </w:rPr>
              <w:t>干预触达、局部响应、协同功能、残余活细胞量</w:t>
            </w:r>
          </w:p>
        </w:tc>
        <w:tc>
          <w:tcPr>
            <w:tcW w:type="dxa" w:w="3883"/>
            <w:vAlign w:val="center"/>
            <w:shd w:fill="FFFFFF"/>
            <w:tcMar>
              <w:top w:w="85" w:type="dxa"/>
              <w:left w:w="85" w:type="dxa"/>
              <w:bottom w:w="85" w:type="dxa"/>
              <w:right w:w="85" w:type="dxa"/>
            </w:tcMar>
          </w:tcPr>
          <w:p>
            <w:pPr>
              <w:spacing w:after="40" w:before="40" w:line="288" w:lineRule="auto"/>
            </w:pPr>
            <w:r>
              <w:rPr>
                <w:sz w:val="19"/>
              </w:rPr>
              <w:t>把未触达、噪声或单项活性当成新生</w:t>
            </w:r>
          </w:p>
        </w:tc>
      </w:tr>
      <w:tr>
        <w:trPr>
          <w:cantSplit/>
        </w:trPr>
        <w:tc>
          <w:tcPr>
            <w:tcW w:type="dxa" w:w="1701"/>
            <w:vAlign w:val="center"/>
            <w:shd w:fill="F0F4F6"/>
            <w:tcMar>
              <w:top w:w="85" w:type="dxa"/>
              <w:left w:w="85" w:type="dxa"/>
              <w:bottom w:w="85" w:type="dxa"/>
              <w:right w:w="85" w:type="dxa"/>
            </w:tcMar>
          </w:tcPr>
          <w:p>
            <w:pPr>
              <w:spacing w:after="40" w:before="40" w:line="288" w:lineRule="auto"/>
            </w:pPr>
            <w:r>
              <w:rPr>
                <w:sz w:val="19"/>
              </w:rPr>
              <w:t>洗脱／随访</w:t>
            </w:r>
          </w:p>
        </w:tc>
        <w:tc>
          <w:tcPr>
            <w:tcW w:type="dxa" w:w="3969"/>
            <w:vAlign w:val="center"/>
            <w:shd w:fill="F0F4F6"/>
            <w:tcMar>
              <w:top w:w="85" w:type="dxa"/>
              <w:left w:w="85" w:type="dxa"/>
              <w:bottom w:w="85" w:type="dxa"/>
              <w:right w:w="85" w:type="dxa"/>
            </w:tcMar>
          </w:tcPr>
          <w:p>
            <w:pPr>
              <w:spacing w:after="40" w:before="40" w:line="288" w:lineRule="auto"/>
            </w:pPr>
            <w:r>
              <w:rPr>
                <w:sz w:val="19"/>
              </w:rPr>
              <w:t>清除残留干预后，在适当观察期追踪再生长</w:t>
            </w:r>
          </w:p>
        </w:tc>
        <w:tc>
          <w:tcPr>
            <w:tcW w:type="dxa" w:w="3883"/>
            <w:vAlign w:val="center"/>
            <w:shd w:fill="F0F4F6"/>
            <w:tcMar>
              <w:top w:w="85" w:type="dxa"/>
              <w:left w:w="85" w:type="dxa"/>
              <w:bottom w:w="85" w:type="dxa"/>
              <w:right w:w="85" w:type="dxa"/>
            </w:tcMar>
          </w:tcPr>
          <w:p>
            <w:pPr>
              <w:spacing w:after="40" w:before="40" w:line="288" w:lineRule="auto"/>
            </w:pPr>
            <w:r>
              <w:rPr>
                <w:sz w:val="19"/>
              </w:rPr>
              <w:t>把药物仍存在的抑制当持久改变</w:t>
            </w:r>
          </w:p>
        </w:tc>
      </w:tr>
      <w:tr>
        <w:trPr>
          <w:cantSplit/>
        </w:trPr>
        <w:tc>
          <w:tcPr>
            <w:tcW w:type="dxa" w:w="1701"/>
            <w:vAlign w:val="center"/>
            <w:shd w:fill="FFFFFF"/>
            <w:tcMar>
              <w:top w:w="85" w:type="dxa"/>
              <w:left w:w="85" w:type="dxa"/>
              <w:bottom w:w="85" w:type="dxa"/>
              <w:right w:w="85" w:type="dxa"/>
            </w:tcMar>
          </w:tcPr>
          <w:p>
            <w:pPr>
              <w:spacing w:after="40" w:before="40" w:line="288" w:lineRule="auto"/>
            </w:pPr>
            <w:r>
              <w:rPr>
                <w:sz w:val="19"/>
              </w:rPr>
              <w:t>独立再挑战t₂</w:t>
            </w:r>
          </w:p>
        </w:tc>
        <w:tc>
          <w:tcPr>
            <w:tcW w:type="dxa" w:w="3969"/>
            <w:vAlign w:val="center"/>
            <w:shd w:fill="FFFFFF"/>
            <w:tcMar>
              <w:top w:w="85" w:type="dxa"/>
              <w:left w:w="85" w:type="dxa"/>
              <w:bottom w:w="85" w:type="dxa"/>
              <w:right w:w="85" w:type="dxa"/>
            </w:tcMar>
          </w:tcPr>
          <w:p>
            <w:pPr>
              <w:spacing w:after="40" w:before="40" w:line="288" w:lineRule="auto"/>
            </w:pPr>
            <w:r>
              <w:rPr>
                <w:sz w:val="19"/>
              </w:rPr>
              <w:t>肿瘤再生长、正常功能、实际耐受与响应</w:t>
            </w:r>
          </w:p>
        </w:tc>
        <w:tc>
          <w:tcPr>
            <w:tcW w:type="dxa" w:w="3883"/>
            <w:vAlign w:val="center"/>
            <w:shd w:fill="FFFFFF"/>
            <w:tcMar>
              <w:top w:w="85" w:type="dxa"/>
              <w:left w:w="85" w:type="dxa"/>
              <w:bottom w:w="85" w:type="dxa"/>
              <w:right w:w="85" w:type="dxa"/>
            </w:tcMar>
          </w:tcPr>
          <w:p>
            <w:pPr>
              <w:spacing w:after="40" w:before="40" w:line="288" w:lineRule="auto"/>
            </w:pPr>
            <w:r>
              <w:rPr>
                <w:sz w:val="19"/>
              </w:rPr>
              <w:t>由同一个结果同时定义指标并验证它</w:t>
            </w:r>
          </w:p>
        </w:tc>
      </w:tr>
    </w:tbl>
    <w:p>
      <w:r>
        <w:rPr>
          <w:b w:val="0"/>
        </w:rPr>
      </w:r>
    </w:p>
    <w:p>
      <w:r>
        <w:rPr>
          <w:b w:val="0"/>
        </w:rPr>
        <w:t>这是前临床设计，不是要求患者为了研究停用有效治疗。没有正常组织或再挑战记录的数据仍可用于较窄问题，但必须缩小结论，不能补想出未被测量的能力。洗脱后重建也要区分残余细胞选择、药物残留、微环境残留与真正的状态转变。</w:t>
      </w:r>
    </w:p>
    <w:p>
      <w:pPr>
        <w:pStyle w:val="Heading2"/>
      </w:pPr>
      <w:r>
        <w:t>模型竞争与留出方式</w:t>
      </w:r>
    </w:p>
    <w:p>
      <w:r>
        <w:rPr>
          <w:b w:val="0"/>
        </w:rPr>
        <w:t>基线模型应含早期负荷、基因背景、药物暴露、批次及已知功能读数。第二模型在同样数据上允许一般的动态和相互作用关系。第三模型才加入体系预先规定的关系约束或额外测量。先按患者留出，再测试未见的干预类型；所有特征选择、阈值、标准化和模型调参只能在训练部分完成。</w:t>
      </w:r>
    </w:p>
    <w:p>
      <w:r>
        <w:rPr>
          <w:b w:val="0"/>
        </w:rPr>
        <w:t>评价不能只报“准确率”。分类结局应同时报告区分度与概率校准；连续再生长应报告误差和区间；小样本宜使用正则化与简单可解释基线。某个队列胜出只证明该范围的增量，跨医院和跨癌种要分别验证。失败不得改写成“更深发生仍然正确”。</w:t>
      </w:r>
    </w:p>
    <w:p>
      <w:r>
        <w:rPr>
          <w:b w:val="0"/>
        </w:rPr>
        <w:t>必须保留能打败本模型的结果：简单负荷或已知效应评分已经足够；关系量只反映取样深度；改换单位后方向翻转；或第二队列中无法复现。以上否定的是相应操作化或适用范围，不等于凭一项失败裁决整个哲学体系。</w:t>
      </w:r>
    </w:p>
    <w:p>
      <w:r>
        <w:br w:type="page"/>
      </w:r>
    </w:p>
    <w:p>
      <w:pPr>
        <w:pStyle w:val="Heading1"/>
      </w:pPr>
      <w:r>
        <w:t>七、为什么现有患者数据还不能叫盲测</w:t>
      </w:r>
    </w:p>
    <w:p>
      <w:r>
        <w:rPr>
          <w:b w:val="0"/>
        </w:rPr>
        <w:t>一个人沿一条治疗路径取得多个时间点，不等于同一个起点接受多类干预。对只观察过输入u=1的数据，f₁(u)=u与f₂(u)=2-u都给出1；在未观察的u=-1处却分别给出-1和3。单一路径不能唯一确定另外的响应规则，这是本轮第二个可复算的识别反例。[M1]</w:t>
      </w:r>
    </w:p>
    <w:p>
      <w:r>
        <w:rPr>
          <w:b w:val="0"/>
        </w:rPr>
        <w:t>若将三个时间点拼成中心化矩阵，其代数秩最多为2；五个时间点最多为4。低秩可能只是设计上限。增加同一活检中的细胞数不能增加该患者接受过的独立干预数。因此，不能把数十万个细胞当成数十万独立患者，也不能从三个治疗阶段直接估计每人的全套“有效发生自由度”。</w:t>
      </w:r>
    </w:p>
    <w:tbl>
      <w:tblPr>
        <w:tblW w:type="auto" w:w="0"/>
        <w:jc w:val="center"/>
        <w:tblLayout w:type="fixed"/>
        <w:tblLook w:firstColumn="1" w:firstRow="1" w:lastColumn="0" w:lastRow="0" w:noHBand="0" w:noVBand="1" w:val="04A0"/>
      </w:tblPr>
      <w:tblGrid>
        <w:gridCol w:w="2835"/>
        <w:gridCol w:w="3402"/>
        <w:gridCol w:w="3317"/>
      </w:tblGrid>
      <w:tr>
        <w:trPr>
          <w:tblHeader/>
          <w:cantSplit/>
        </w:trPr>
        <w:tc>
          <w:tcPr>
            <w:tcW w:type="dxa" w:w="2835"/>
            <w:vAlign w:val="center"/>
            <w:shd w:fill="173B53"/>
            <w:tcMar>
              <w:top w:w="85" w:type="dxa"/>
              <w:left w:w="85" w:type="dxa"/>
              <w:bottom w:w="85" w:type="dxa"/>
              <w:right w:w="85" w:type="dxa"/>
            </w:tcMar>
          </w:tcPr>
          <w:p>
            <w:pPr>
              <w:spacing w:after="40" w:before="40" w:line="288" w:lineRule="auto"/>
            </w:pPr>
            <w:r>
              <w:rPr>
                <w:b/>
                <w:color w:val="FFFFFF"/>
                <w:sz w:val="19"/>
              </w:rPr>
              <w:t>资源</w:t>
            </w:r>
          </w:p>
        </w:tc>
        <w:tc>
          <w:tcPr>
            <w:tcW w:type="dxa" w:w="3402"/>
            <w:vAlign w:val="center"/>
            <w:shd w:fill="173B53"/>
            <w:tcMar>
              <w:top w:w="85" w:type="dxa"/>
              <w:left w:w="85" w:type="dxa"/>
              <w:bottom w:w="85" w:type="dxa"/>
              <w:right w:w="85" w:type="dxa"/>
            </w:tcMar>
          </w:tcPr>
          <w:p>
            <w:pPr>
              <w:spacing w:after="40" w:before="40" w:line="288" w:lineRule="auto"/>
            </w:pPr>
            <w:r>
              <w:rPr>
                <w:b/>
                <w:color w:val="FFFFFF"/>
                <w:sz w:val="19"/>
              </w:rPr>
              <w:t>本轮取得情况</w:t>
            </w:r>
          </w:p>
        </w:tc>
        <w:tc>
          <w:tcPr>
            <w:tcW w:type="dxa" w:w="3317"/>
            <w:vAlign w:val="center"/>
            <w:shd w:fill="173B53"/>
            <w:tcMar>
              <w:top w:w="85" w:type="dxa"/>
              <w:left w:w="85" w:type="dxa"/>
              <w:bottom w:w="85" w:type="dxa"/>
              <w:right w:w="85" w:type="dxa"/>
            </w:tcMar>
          </w:tcPr>
          <w:p>
            <w:pPr>
              <w:spacing w:after="40" w:before="40" w:line="288" w:lineRule="auto"/>
            </w:pPr>
            <w:r>
              <w:rPr>
                <w:b/>
                <w:color w:val="FFFFFF"/>
                <w:sz w:val="19"/>
              </w:rPr>
              <w:t>允许的用途</w:t>
            </w:r>
          </w:p>
        </w:tc>
      </w:tr>
      <w:tr>
        <w:trPr>
          <w:cantSplit/>
        </w:trPr>
        <w:tc>
          <w:tcPr>
            <w:tcW w:type="dxa" w:w="2835"/>
            <w:vAlign w:val="center"/>
            <w:shd w:fill="F0F4F6"/>
            <w:tcMar>
              <w:top w:w="85" w:type="dxa"/>
              <w:left w:w="85" w:type="dxa"/>
              <w:bottom w:w="85" w:type="dxa"/>
              <w:right w:w="85" w:type="dxa"/>
            </w:tcMar>
          </w:tcPr>
          <w:p>
            <w:pPr>
              <w:spacing w:after="40" w:before="40" w:line="288" w:lineRule="auto"/>
            </w:pPr>
            <w:r>
              <w:rPr>
                <w:sz w:val="19"/>
              </w:rPr>
              <w:t>PerturbFate主文与作者代码说明</w:t>
            </w:r>
          </w:p>
        </w:tc>
        <w:tc>
          <w:tcPr>
            <w:tcW w:type="dxa" w:w="3402"/>
            <w:vAlign w:val="center"/>
            <w:shd w:fill="F0F4F6"/>
            <w:tcMar>
              <w:top w:w="85" w:type="dxa"/>
              <w:left w:w="85" w:type="dxa"/>
              <w:bottom w:w="85" w:type="dxa"/>
              <w:right w:w="85" w:type="dxa"/>
            </w:tcMar>
          </w:tcPr>
          <w:p>
            <w:pPr>
              <w:spacing w:after="40" w:before="40" w:line="288" w:lineRule="auto"/>
            </w:pPr>
            <w:r>
              <w:rPr>
                <w:sz w:val="19"/>
              </w:rPr>
              <w:t>已核对；GSE291147入口触发校验，补充表未取得</w:t>
            </w:r>
          </w:p>
        </w:tc>
        <w:tc>
          <w:tcPr>
            <w:tcW w:type="dxa" w:w="3317"/>
            <w:vAlign w:val="center"/>
            <w:shd w:fill="F0F4F6"/>
            <w:tcMar>
              <w:top w:w="85" w:type="dxa"/>
              <w:left w:w="85" w:type="dxa"/>
              <w:bottom w:w="85" w:type="dxa"/>
              <w:right w:w="85" w:type="dxa"/>
            </w:tcMar>
          </w:tcPr>
          <w:p>
            <w:pPr>
              <w:spacing w:after="40" w:before="40" w:line="288" w:lineRule="auto"/>
            </w:pPr>
            <w:r>
              <w:rPr>
                <w:sz w:val="19"/>
              </w:rPr>
              <w:t>公开汇总计数与方法审计，不算原始细胞复算</w:t>
            </w:r>
          </w:p>
        </w:tc>
      </w:tr>
      <w:tr>
        <w:trPr>
          <w:cantSplit/>
        </w:trPr>
        <w:tc>
          <w:tcPr>
            <w:tcW w:type="dxa" w:w="2835"/>
            <w:vAlign w:val="center"/>
            <w:shd w:fill="FFFFFF"/>
            <w:tcMar>
              <w:top w:w="85" w:type="dxa"/>
              <w:left w:w="85" w:type="dxa"/>
              <w:bottom w:w="85" w:type="dxa"/>
              <w:right w:w="85" w:type="dxa"/>
            </w:tcMar>
          </w:tcPr>
          <w:p>
            <w:pPr>
              <w:spacing w:after="40" w:before="40" w:line="288" w:lineRule="auto"/>
            </w:pPr>
            <w:r>
              <w:rPr>
                <w:sz w:val="19"/>
              </w:rPr>
              <w:t>直肠癌主文及2026-07更正</w:t>
            </w:r>
          </w:p>
        </w:tc>
        <w:tc>
          <w:tcPr>
            <w:tcW w:type="dxa" w:w="3402"/>
            <w:vAlign w:val="center"/>
            <w:shd w:fill="FFFFFF"/>
            <w:tcMar>
              <w:top w:w="85" w:type="dxa"/>
              <w:left w:w="85" w:type="dxa"/>
              <w:bottom w:w="85" w:type="dxa"/>
              <w:right w:w="85" w:type="dxa"/>
            </w:tcMar>
          </w:tcPr>
          <w:p>
            <w:pPr>
              <w:spacing w:after="40" w:before="40" w:line="288" w:lineRule="auto"/>
            </w:pPr>
            <w:r>
              <w:rPr>
                <w:sz w:val="19"/>
              </w:rPr>
              <w:t>已核对；HRA010884页面超时；XLSX下载失败</w:t>
            </w:r>
          </w:p>
        </w:tc>
        <w:tc>
          <w:tcPr>
            <w:tcW w:type="dxa" w:w="3317"/>
            <w:vAlign w:val="center"/>
            <w:shd w:fill="FFFFFF"/>
            <w:tcMar>
              <w:top w:w="85" w:type="dxa"/>
              <w:left w:w="85" w:type="dxa"/>
              <w:bottom w:w="85" w:type="dxa"/>
              <w:right w:w="85" w:type="dxa"/>
            </w:tcMar>
          </w:tcPr>
          <w:p>
            <w:pPr>
              <w:spacing w:after="40" w:before="40" w:line="288" w:lineRule="auto"/>
            </w:pPr>
            <w:r>
              <w:rPr>
                <w:sz w:val="19"/>
              </w:rPr>
              <w:t>研究设计与证据等级核对，不算患者预测</w:t>
            </w:r>
          </w:p>
        </w:tc>
      </w:tr>
      <w:tr>
        <w:trPr>
          <w:cantSplit/>
        </w:trPr>
        <w:tc>
          <w:tcPr>
            <w:tcW w:type="dxa" w:w="2835"/>
            <w:vAlign w:val="center"/>
            <w:shd w:fill="F0F4F6"/>
            <w:tcMar>
              <w:top w:w="85" w:type="dxa"/>
              <w:left w:w="85" w:type="dxa"/>
              <w:bottom w:w="85" w:type="dxa"/>
              <w:right w:w="85" w:type="dxa"/>
            </w:tcMar>
          </w:tcPr>
          <w:p>
            <w:pPr>
              <w:spacing w:after="40" w:before="40" w:line="288" w:lineRule="auto"/>
            </w:pPr>
            <w:r>
              <w:rPr>
                <w:sz w:val="19"/>
              </w:rPr>
              <w:t>肺癌克隆复苏主文</w:t>
            </w:r>
          </w:p>
        </w:tc>
        <w:tc>
          <w:tcPr>
            <w:tcW w:type="dxa" w:w="3402"/>
            <w:vAlign w:val="center"/>
            <w:shd w:fill="F0F4F6"/>
            <w:tcMar>
              <w:top w:w="85" w:type="dxa"/>
              <w:left w:w="85" w:type="dxa"/>
              <w:bottom w:w="85" w:type="dxa"/>
              <w:right w:w="85" w:type="dxa"/>
            </w:tcMar>
          </w:tcPr>
          <w:p>
            <w:pPr>
              <w:spacing w:after="40" w:before="40" w:line="288" w:lineRule="auto"/>
            </w:pPr>
            <w:r>
              <w:rPr>
                <w:sz w:val="19"/>
              </w:rPr>
              <w:t>已核对；GSE179994入口触发校验，源表未取得</w:t>
            </w:r>
          </w:p>
        </w:tc>
        <w:tc>
          <w:tcPr>
            <w:tcW w:type="dxa" w:w="3317"/>
            <w:vAlign w:val="center"/>
            <w:shd w:fill="F0F4F6"/>
            <w:tcMar>
              <w:top w:w="85" w:type="dxa"/>
              <w:left w:w="85" w:type="dxa"/>
              <w:bottom w:w="85" w:type="dxa"/>
              <w:right w:w="85" w:type="dxa"/>
            </w:tcMar>
          </w:tcPr>
          <w:p>
            <w:pPr>
              <w:spacing w:after="40" w:before="40" w:line="288" w:lineRule="auto"/>
            </w:pPr>
            <w:r>
              <w:rPr>
                <w:sz w:val="19"/>
              </w:rPr>
              <w:t>反例与采样边界核对</w:t>
            </w:r>
          </w:p>
        </w:tc>
      </w:tr>
      <w:tr>
        <w:trPr>
          <w:cantSplit/>
        </w:trPr>
        <w:tc>
          <w:tcPr>
            <w:tcW w:type="dxa" w:w="2835"/>
            <w:vAlign w:val="center"/>
            <w:shd w:fill="FFFFFF"/>
            <w:tcMar>
              <w:top w:w="85" w:type="dxa"/>
              <w:left w:w="85" w:type="dxa"/>
              <w:bottom w:w="85" w:type="dxa"/>
              <w:right w:w="85" w:type="dxa"/>
            </w:tcMar>
          </w:tcPr>
          <w:p>
            <w:pPr>
              <w:spacing w:after="40" w:before="40" w:line="288" w:lineRule="auto"/>
            </w:pPr>
            <w:r>
              <w:rPr>
                <w:sz w:val="19"/>
              </w:rPr>
              <w:t>用户上传GSK-3/BCL-XL PDF</w:t>
            </w:r>
          </w:p>
        </w:tc>
        <w:tc>
          <w:tcPr>
            <w:tcW w:type="dxa" w:w="3402"/>
            <w:vAlign w:val="center"/>
            <w:shd w:fill="FFFFFF"/>
            <w:tcMar>
              <w:top w:w="85" w:type="dxa"/>
              <w:left w:w="85" w:type="dxa"/>
              <w:bottom w:w="85" w:type="dxa"/>
              <w:right w:w="85" w:type="dxa"/>
            </w:tcMar>
          </w:tcPr>
          <w:p>
            <w:pPr>
              <w:spacing w:after="40" w:before="40" w:line="288" w:lineRule="auto"/>
            </w:pPr>
            <w:r>
              <w:rPr>
                <w:sz w:val="19"/>
              </w:rPr>
              <w:t>完整8页PDF在本地；图4页面已渲染检查</w:t>
            </w:r>
          </w:p>
        </w:tc>
        <w:tc>
          <w:tcPr>
            <w:tcW w:type="dxa" w:w="3317"/>
            <w:vAlign w:val="center"/>
            <w:shd w:fill="FFFFFF"/>
            <w:tcMar>
              <w:top w:w="85" w:type="dxa"/>
              <w:left w:w="85" w:type="dxa"/>
              <w:bottom w:w="85" w:type="dxa"/>
              <w:right w:w="85" w:type="dxa"/>
            </w:tcMar>
          </w:tcPr>
          <w:p>
            <w:pPr>
              <w:spacing w:after="40" w:before="40" w:line="288" w:lineRule="auto"/>
            </w:pPr>
            <w:r>
              <w:rPr>
                <w:sz w:val="19"/>
              </w:rPr>
              <w:t>核对既有实验，不新增原始重复</w:t>
            </w:r>
          </w:p>
        </w:tc>
      </w:tr>
      <w:tr>
        <w:trPr>
          <w:cantSplit/>
        </w:trPr>
        <w:tc>
          <w:tcPr>
            <w:tcW w:type="dxa" w:w="2835"/>
            <w:vAlign w:val="center"/>
            <w:shd w:fill="F0F4F6"/>
            <w:tcMar>
              <w:top w:w="85" w:type="dxa"/>
              <w:left w:w="85" w:type="dxa"/>
              <w:bottom w:w="85" w:type="dxa"/>
              <w:right w:w="85" w:type="dxa"/>
            </w:tcMar>
          </w:tcPr>
          <w:p>
            <w:pPr>
              <w:spacing w:after="40" w:before="40" w:line="288" w:lineRule="auto"/>
            </w:pPr>
            <w:r>
              <w:rPr>
                <w:sz w:val="19"/>
              </w:rPr>
              <w:t>本轮数学数组与计算</w:t>
            </w:r>
          </w:p>
        </w:tc>
        <w:tc>
          <w:tcPr>
            <w:tcW w:type="dxa" w:w="3402"/>
            <w:vAlign w:val="center"/>
            <w:shd w:fill="F0F4F6"/>
            <w:tcMar>
              <w:top w:w="85" w:type="dxa"/>
              <w:left w:w="85" w:type="dxa"/>
              <w:bottom w:w="85" w:type="dxa"/>
              <w:right w:w="85" w:type="dxa"/>
            </w:tcMar>
          </w:tcPr>
          <w:p>
            <w:pPr>
              <w:spacing w:after="40" w:before="40" w:line="288" w:lineRule="auto"/>
            </w:pPr>
            <w:r>
              <w:rPr>
                <w:sz w:val="19"/>
              </w:rPr>
              <w:t>已执行；代码、CSV、JSON已保存</w:t>
            </w:r>
          </w:p>
        </w:tc>
        <w:tc>
          <w:tcPr>
            <w:tcW w:type="dxa" w:w="3317"/>
            <w:vAlign w:val="center"/>
            <w:shd w:fill="F0F4F6"/>
            <w:tcMar>
              <w:top w:w="85" w:type="dxa"/>
              <w:left w:w="85" w:type="dxa"/>
              <w:bottom w:w="85" w:type="dxa"/>
              <w:right w:w="85" w:type="dxa"/>
            </w:tcMar>
          </w:tcPr>
          <w:p>
            <w:pPr>
              <w:spacing w:after="40" w:before="40" w:line="288" w:lineRule="auto"/>
            </w:pPr>
            <w:r>
              <w:rPr>
                <w:sz w:val="19"/>
              </w:rPr>
              <w:t>检验指标逻辑，不属于人体证据</w:t>
            </w:r>
          </w:p>
        </w:tc>
      </w:tr>
    </w:tbl>
    <w:p>
      <w:r>
        <w:rPr>
          <w:b w:val="0"/>
        </w:rPr>
      </w:r>
    </w:p>
    <w:p>
      <w:r>
        <w:rPr>
          <w:b w:val="0"/>
        </w:rPr>
        <w:t>补充表在网页上标为可下载，不表示本轮已经取得其字节。下载日志保留具体失败原因；没有绕过访问控制，也没有取得受控患者数据。用户提供的社会报告和《内经》报告均按内部来源处理，不把它们的“反向验证”标签转算成癌症的样本外成绩。</w:t>
      </w:r>
    </w:p>
    <w:p>
      <w:r>
        <w:rPr>
          <w:b w:val="0"/>
        </w:rPr>
        <w:t>本轮分析计划在读取任何新补充表之前保存并计算了校验值；但相关论文摘要和既有结论早已知晓，且最终没有取得新表。这个本地记录不是正式预注册，更不是认知隔离的盲测。文献复核、汇总数重算、数学反例与真正数据验证在此严格分账。</w:t>
      </w:r>
    </w:p>
    <w:p>
      <w:r>
        <w:br w:type="page"/>
      </w:r>
    </w:p>
    <w:p>
      <w:pPr>
        <w:pStyle w:val="Heading1"/>
      </w:pPr>
      <w:r>
        <w:t>八、结论台账：哪些保留，哪些撤回</w:t>
      </w:r>
    </w:p>
    <w:tbl>
      <w:tblPr>
        <w:tblW w:type="auto" w:w="0"/>
        <w:jc w:val="center"/>
        <w:tblLayout w:type="fixed"/>
        <w:tblLook w:firstColumn="1" w:firstRow="1" w:lastColumn="0" w:lastRow="0" w:noHBand="0" w:noVBand="1" w:val="04A0"/>
      </w:tblPr>
      <w:tblGrid>
        <w:gridCol w:w="3969"/>
        <w:gridCol w:w="1757"/>
        <w:gridCol w:w="3827"/>
      </w:tblGrid>
      <w:tr>
        <w:trPr>
          <w:tblHeader/>
          <w:cantSplit/>
        </w:trPr>
        <w:tc>
          <w:tcPr>
            <w:tcW w:type="dxa" w:w="3969"/>
            <w:vAlign w:val="center"/>
            <w:shd w:fill="173B53"/>
            <w:tcMar>
              <w:top w:w="85" w:type="dxa"/>
              <w:left w:w="85" w:type="dxa"/>
              <w:bottom w:w="85" w:type="dxa"/>
              <w:right w:w="85" w:type="dxa"/>
            </w:tcMar>
          </w:tcPr>
          <w:p>
            <w:pPr>
              <w:spacing w:after="40" w:before="40" w:line="288" w:lineRule="auto"/>
            </w:pPr>
            <w:r>
              <w:rPr>
                <w:b/>
                <w:color w:val="FFFFFF"/>
                <w:sz w:val="19"/>
              </w:rPr>
              <w:t>命题</w:t>
            </w:r>
          </w:p>
        </w:tc>
        <w:tc>
          <w:tcPr>
            <w:tcW w:type="dxa" w:w="1757"/>
            <w:vAlign w:val="center"/>
            <w:shd w:fill="173B53"/>
            <w:tcMar>
              <w:top w:w="85" w:type="dxa"/>
              <w:left w:w="85" w:type="dxa"/>
              <w:bottom w:w="85" w:type="dxa"/>
              <w:right w:w="85" w:type="dxa"/>
            </w:tcMar>
          </w:tcPr>
          <w:p>
            <w:pPr>
              <w:spacing w:after="40" w:before="40" w:line="288" w:lineRule="auto"/>
            </w:pPr>
            <w:r>
              <w:rPr>
                <w:b/>
                <w:color w:val="FFFFFF"/>
                <w:sz w:val="19"/>
              </w:rPr>
              <w:t>本轮判决</w:t>
            </w:r>
          </w:p>
        </w:tc>
        <w:tc>
          <w:tcPr>
            <w:tcW w:type="dxa" w:w="3827"/>
            <w:vAlign w:val="center"/>
            <w:shd w:fill="173B53"/>
            <w:tcMar>
              <w:top w:w="85" w:type="dxa"/>
              <w:left w:w="85" w:type="dxa"/>
              <w:bottom w:w="85" w:type="dxa"/>
              <w:right w:w="85" w:type="dxa"/>
            </w:tcMar>
          </w:tcPr>
          <w:p>
            <w:pPr>
              <w:spacing w:after="40" w:before="40" w:line="288" w:lineRule="auto"/>
            </w:pPr>
            <w:r>
              <w:rPr>
                <w:b/>
                <w:color w:val="FFFFFF"/>
                <w:sz w:val="19"/>
              </w:rPr>
              <w:t>原因</w:t>
            </w:r>
          </w:p>
        </w:tc>
      </w:tr>
      <w:tr>
        <w:trPr>
          <w:cantSplit/>
        </w:trPr>
        <w:tc>
          <w:tcPr>
            <w:tcW w:type="dxa" w:w="3969"/>
            <w:vAlign w:val="center"/>
            <w:shd w:fill="F0F4F6"/>
            <w:tcMar>
              <w:top w:w="85" w:type="dxa"/>
              <w:left w:w="85" w:type="dxa"/>
              <w:bottom w:w="85" w:type="dxa"/>
              <w:right w:w="85" w:type="dxa"/>
            </w:tcMar>
          </w:tcPr>
          <w:p>
            <w:pPr>
              <w:spacing w:after="40" w:before="40" w:line="288" w:lineRule="auto"/>
            </w:pPr>
            <w:r>
              <w:rPr>
                <w:sz w:val="19"/>
              </w:rPr>
              <w:t>同一生成语法不要求所有患者同一投影</w:t>
            </w:r>
          </w:p>
        </w:tc>
        <w:tc>
          <w:tcPr>
            <w:tcW w:type="dxa" w:w="1757"/>
            <w:vAlign w:val="center"/>
            <w:shd w:fill="F0F4F6"/>
            <w:tcMar>
              <w:top w:w="85" w:type="dxa"/>
              <w:left w:w="85" w:type="dxa"/>
              <w:bottom w:w="85" w:type="dxa"/>
              <w:right w:w="85" w:type="dxa"/>
            </w:tcMar>
          </w:tcPr>
          <w:p>
            <w:pPr>
              <w:spacing w:after="40" w:before="40" w:line="288" w:lineRule="auto"/>
            </w:pPr>
            <w:r>
              <w:rPr>
                <w:sz w:val="19"/>
              </w:rPr>
              <w:t>保留为框架约束</w:t>
            </w:r>
          </w:p>
        </w:tc>
        <w:tc>
          <w:tcPr>
            <w:tcW w:type="dxa" w:w="3827"/>
            <w:vAlign w:val="center"/>
            <w:shd w:fill="F0F4F6"/>
            <w:tcMar>
              <w:top w:w="85" w:type="dxa"/>
              <w:left w:w="85" w:type="dxa"/>
              <w:bottom w:w="85" w:type="dxa"/>
              <w:right w:w="85" w:type="dxa"/>
            </w:tcMar>
          </w:tcPr>
          <w:p>
            <w:pPr>
              <w:spacing w:after="40" w:before="40" w:line="288" w:lineRule="auto"/>
            </w:pPr>
            <w:r>
              <w:rPr>
                <w:sz w:val="19"/>
              </w:rPr>
              <w:t>符合内部来源；不自动成为临床定律</w:t>
            </w:r>
          </w:p>
        </w:tc>
      </w:tr>
      <w:tr>
        <w:trPr>
          <w:cantSplit/>
        </w:trPr>
        <w:tc>
          <w:tcPr>
            <w:tcW w:type="dxa" w:w="3969"/>
            <w:vAlign w:val="center"/>
            <w:shd w:fill="FFFFFF"/>
            <w:tcMar>
              <w:top w:w="85" w:type="dxa"/>
              <w:left w:w="85" w:type="dxa"/>
              <w:bottom w:w="85" w:type="dxa"/>
              <w:right w:w="85" w:type="dxa"/>
            </w:tcMar>
          </w:tcPr>
          <w:p>
            <w:pPr>
              <w:spacing w:after="40" w:before="40" w:line="288" w:lineRule="auto"/>
            </w:pPr>
            <w:r>
              <w:rPr>
                <w:sz w:val="19"/>
              </w:rPr>
              <w:t>不同扰动可趋同至耐药相关程序</w:t>
            </w:r>
          </w:p>
        </w:tc>
        <w:tc>
          <w:tcPr>
            <w:tcW w:type="dxa" w:w="1757"/>
            <w:vAlign w:val="center"/>
            <w:shd w:fill="FFFFFF"/>
            <w:tcMar>
              <w:top w:w="85" w:type="dxa"/>
              <w:left w:w="85" w:type="dxa"/>
              <w:bottom w:w="85" w:type="dxa"/>
              <w:right w:w="85" w:type="dxa"/>
            </w:tcMar>
          </w:tcPr>
          <w:p>
            <w:pPr>
              <w:spacing w:after="40" w:before="40" w:line="288" w:lineRule="auto"/>
            </w:pPr>
            <w:r>
              <w:rPr>
                <w:sz w:val="19"/>
              </w:rPr>
              <w:t>局部实证支持</w:t>
            </w:r>
          </w:p>
        </w:tc>
        <w:tc>
          <w:tcPr>
            <w:tcW w:type="dxa" w:w="3827"/>
            <w:vAlign w:val="center"/>
            <w:shd w:fill="FFFFFF"/>
            <w:tcMar>
              <w:top w:w="85" w:type="dxa"/>
              <w:left w:w="85" w:type="dxa"/>
              <w:bottom w:w="85" w:type="dxa"/>
              <w:right w:w="85" w:type="dxa"/>
            </w:tcMar>
          </w:tcPr>
          <w:p>
            <w:pPr>
              <w:spacing w:after="40" w:before="40" w:line="288" w:lineRule="auto"/>
            </w:pPr>
            <w:r>
              <w:rPr>
                <w:sz w:val="19"/>
              </w:rPr>
              <w:t>PerturbFate；限于背景、面板与测量</w:t>
            </w:r>
          </w:p>
        </w:tc>
      </w:tr>
      <w:tr>
        <w:trPr>
          <w:cantSplit/>
        </w:trPr>
        <w:tc>
          <w:tcPr>
            <w:tcW w:type="dxa" w:w="3969"/>
            <w:vAlign w:val="center"/>
            <w:shd w:fill="F0F4F6"/>
            <w:tcMar>
              <w:top w:w="85" w:type="dxa"/>
              <w:left w:w="85" w:type="dxa"/>
              <w:bottom w:w="85" w:type="dxa"/>
              <w:right w:w="85" w:type="dxa"/>
            </w:tcMar>
          </w:tcPr>
          <w:p>
            <w:pPr>
              <w:spacing w:after="40" w:before="40" w:line="288" w:lineRule="auto"/>
            </w:pPr>
            <w:r>
              <w:rPr>
                <w:sz w:val="19"/>
              </w:rPr>
              <w:t>新克隆必然好、旧克隆必然坏</w:t>
            </w:r>
          </w:p>
        </w:tc>
        <w:tc>
          <w:tcPr>
            <w:tcW w:type="dxa" w:w="1757"/>
            <w:vAlign w:val="center"/>
            <w:shd w:fill="F0F4F6"/>
            <w:tcMar>
              <w:top w:w="85" w:type="dxa"/>
              <w:left w:w="85" w:type="dxa"/>
              <w:bottom w:w="85" w:type="dxa"/>
              <w:right w:w="85" w:type="dxa"/>
            </w:tcMar>
          </w:tcPr>
          <w:p>
            <w:pPr>
              <w:spacing w:after="40" w:before="40" w:line="288" w:lineRule="auto"/>
            </w:pPr>
            <w:r>
              <w:rPr>
                <w:sz w:val="19"/>
              </w:rPr>
              <w:t>撤回</w:t>
            </w:r>
          </w:p>
        </w:tc>
        <w:tc>
          <w:tcPr>
            <w:tcW w:type="dxa" w:w="3827"/>
            <w:vAlign w:val="center"/>
            <w:shd w:fill="F0F4F6"/>
            <w:tcMar>
              <w:top w:w="85" w:type="dxa"/>
              <w:left w:w="85" w:type="dxa"/>
              <w:bottom w:w="85" w:type="dxa"/>
              <w:right w:w="85" w:type="dxa"/>
            </w:tcMar>
          </w:tcPr>
          <w:p>
            <w:pPr>
              <w:spacing w:after="40" w:before="40" w:line="288" w:lineRule="auto"/>
            </w:pPr>
            <w:r>
              <w:rPr>
                <w:sz w:val="19"/>
              </w:rPr>
              <w:t>克隆复苏与困陷须按功能和情境区分</w:t>
            </w:r>
          </w:p>
        </w:tc>
      </w:tr>
      <w:tr>
        <w:trPr>
          <w:cantSplit/>
        </w:trPr>
        <w:tc>
          <w:tcPr>
            <w:tcW w:type="dxa" w:w="3969"/>
            <w:vAlign w:val="center"/>
            <w:shd w:fill="FFFFFF"/>
            <w:tcMar>
              <w:top w:w="85" w:type="dxa"/>
              <w:left w:w="85" w:type="dxa"/>
              <w:bottom w:w="85" w:type="dxa"/>
              <w:right w:w="85" w:type="dxa"/>
            </w:tcMar>
          </w:tcPr>
          <w:p>
            <w:pPr>
              <w:spacing w:after="40" w:before="40" w:line="288" w:lineRule="auto"/>
            </w:pPr>
            <w:r>
              <w:rPr>
                <w:sz w:val="19"/>
              </w:rPr>
              <w:t>高异质性＋低有效秩是通用癌症判据</w:t>
            </w:r>
          </w:p>
        </w:tc>
        <w:tc>
          <w:tcPr>
            <w:tcW w:type="dxa" w:w="1757"/>
            <w:vAlign w:val="center"/>
            <w:shd w:fill="FFFFFF"/>
            <w:tcMar>
              <w:top w:w="85" w:type="dxa"/>
              <w:left w:w="85" w:type="dxa"/>
              <w:bottom w:w="85" w:type="dxa"/>
              <w:right w:w="85" w:type="dxa"/>
            </w:tcMar>
          </w:tcPr>
          <w:p>
            <w:pPr>
              <w:spacing w:after="40" w:before="40" w:line="288" w:lineRule="auto"/>
            </w:pPr>
            <w:r>
              <w:rPr>
                <w:sz w:val="19"/>
              </w:rPr>
              <w:t>撤回通用性</w:t>
            </w:r>
          </w:p>
        </w:tc>
        <w:tc>
          <w:tcPr>
            <w:tcW w:type="dxa" w:w="3827"/>
            <w:vAlign w:val="center"/>
            <w:shd w:fill="FFFFFF"/>
            <w:tcMar>
              <w:top w:w="85" w:type="dxa"/>
              <w:left w:w="85" w:type="dxa"/>
              <w:bottom w:w="85" w:type="dxa"/>
              <w:right w:w="85" w:type="dxa"/>
            </w:tcMar>
          </w:tcPr>
          <w:p>
            <w:pPr>
              <w:spacing w:after="40" w:before="40" w:line="288" w:lineRule="auto"/>
            </w:pPr>
            <w:r>
              <w:rPr>
                <w:sz w:val="19"/>
              </w:rPr>
              <w:t>方向、强度、单位与设计的反例</w:t>
            </w:r>
          </w:p>
        </w:tc>
      </w:tr>
      <w:tr>
        <w:trPr>
          <w:cantSplit/>
        </w:trPr>
        <w:tc>
          <w:tcPr>
            <w:tcW w:type="dxa" w:w="3969"/>
            <w:vAlign w:val="center"/>
            <w:shd w:fill="F0F4F6"/>
            <w:tcMar>
              <w:top w:w="85" w:type="dxa"/>
              <w:left w:w="85" w:type="dxa"/>
              <w:bottom w:w="85" w:type="dxa"/>
              <w:right w:w="85" w:type="dxa"/>
            </w:tcMar>
          </w:tcPr>
          <w:p>
            <w:pPr>
              <w:spacing w:after="40" w:before="40" w:line="288" w:lineRule="auto"/>
            </w:pPr>
            <w:r>
              <w:rPr>
                <w:sz w:val="19"/>
              </w:rPr>
              <w:t>战争与癌症报告可互为独立实验证明</w:t>
            </w:r>
          </w:p>
        </w:tc>
        <w:tc>
          <w:tcPr>
            <w:tcW w:type="dxa" w:w="1757"/>
            <w:vAlign w:val="center"/>
            <w:shd w:fill="F0F4F6"/>
            <w:tcMar>
              <w:top w:w="85" w:type="dxa"/>
              <w:left w:w="85" w:type="dxa"/>
              <w:bottom w:w="85" w:type="dxa"/>
              <w:right w:w="85" w:type="dxa"/>
            </w:tcMar>
          </w:tcPr>
          <w:p>
            <w:pPr>
              <w:spacing w:after="40" w:before="40" w:line="288" w:lineRule="auto"/>
            </w:pPr>
            <w:r>
              <w:rPr>
                <w:sz w:val="19"/>
              </w:rPr>
              <w:t>撤回</w:t>
            </w:r>
          </w:p>
        </w:tc>
        <w:tc>
          <w:tcPr>
            <w:tcW w:type="dxa" w:w="3827"/>
            <w:vAlign w:val="center"/>
            <w:shd w:fill="F0F4F6"/>
            <w:tcMar>
              <w:top w:w="85" w:type="dxa"/>
              <w:left w:w="85" w:type="dxa"/>
              <w:bottom w:w="85" w:type="dxa"/>
              <w:right w:w="85" w:type="dxa"/>
            </w:tcMar>
          </w:tcPr>
          <w:p>
            <w:pPr>
              <w:spacing w:after="40" w:before="40" w:line="288" w:lineRule="auto"/>
            </w:pPr>
            <w:r>
              <w:rPr>
                <w:sz w:val="19"/>
              </w:rPr>
              <w:t>共享母结构，且存在相互引用</w:t>
            </w:r>
          </w:p>
        </w:tc>
      </w:tr>
      <w:tr>
        <w:trPr>
          <w:cantSplit/>
        </w:trPr>
        <w:tc>
          <w:tcPr>
            <w:tcW w:type="dxa" w:w="3969"/>
            <w:vAlign w:val="center"/>
            <w:shd w:fill="FFFFFF"/>
            <w:tcMar>
              <w:top w:w="85" w:type="dxa"/>
              <w:left w:w="85" w:type="dxa"/>
              <w:bottom w:w="85" w:type="dxa"/>
              <w:right w:w="85" w:type="dxa"/>
            </w:tcMar>
          </w:tcPr>
          <w:p>
            <w:pPr>
              <w:spacing w:after="40" w:before="40" w:line="288" w:lineRule="auto"/>
            </w:pPr>
            <w:r>
              <w:rPr>
                <w:sz w:val="19"/>
              </w:rPr>
              <w:t>早期关系特征能额外预测持续功能改变</w:t>
            </w:r>
          </w:p>
        </w:tc>
        <w:tc>
          <w:tcPr>
            <w:tcW w:type="dxa" w:w="1757"/>
            <w:vAlign w:val="center"/>
            <w:shd w:fill="FFFFFF"/>
            <w:tcMar>
              <w:top w:w="85" w:type="dxa"/>
              <w:left w:w="85" w:type="dxa"/>
              <w:bottom w:w="85" w:type="dxa"/>
              <w:right w:w="85" w:type="dxa"/>
            </w:tcMar>
          </w:tcPr>
          <w:p>
            <w:pPr>
              <w:spacing w:after="40" w:before="40" w:line="288" w:lineRule="auto"/>
            </w:pPr>
            <w:r>
              <w:rPr>
                <w:sz w:val="19"/>
              </w:rPr>
              <w:t>保留待检验假说</w:t>
            </w:r>
          </w:p>
        </w:tc>
        <w:tc>
          <w:tcPr>
            <w:tcW w:type="dxa" w:w="3827"/>
            <w:vAlign w:val="center"/>
            <w:shd w:fill="FFFFFF"/>
            <w:tcMar>
              <w:top w:w="85" w:type="dxa"/>
              <w:left w:w="85" w:type="dxa"/>
              <w:bottom w:w="85" w:type="dxa"/>
              <w:right w:w="85" w:type="dxa"/>
            </w:tcMar>
          </w:tcPr>
          <w:p>
            <w:pPr>
              <w:spacing w:after="40" w:before="40" w:line="288" w:lineRule="auto"/>
            </w:pPr>
            <w:r>
              <w:rPr>
                <w:sz w:val="19"/>
              </w:rPr>
              <w:t>尚无本项目患者级样本外结果</w:t>
            </w:r>
          </w:p>
        </w:tc>
      </w:tr>
      <w:tr>
        <w:trPr>
          <w:cantSplit/>
        </w:trPr>
        <w:tc>
          <w:tcPr>
            <w:tcW w:type="dxa" w:w="3969"/>
            <w:vAlign w:val="center"/>
            <w:shd w:fill="F0F4F6"/>
            <w:tcMar>
              <w:top w:w="85" w:type="dxa"/>
              <w:left w:w="85" w:type="dxa"/>
              <w:bottom w:w="85" w:type="dxa"/>
              <w:right w:w="85" w:type="dxa"/>
            </w:tcMar>
          </w:tcPr>
          <w:p>
            <w:pPr>
              <w:spacing w:after="40" w:before="40" w:line="288" w:lineRule="auto"/>
            </w:pPr>
            <w:r>
              <w:rPr>
                <w:sz w:val="19"/>
              </w:rPr>
              <w:t>已经比ctDNA/影像更早预测复发</w:t>
            </w:r>
          </w:p>
        </w:tc>
        <w:tc>
          <w:tcPr>
            <w:tcW w:type="dxa" w:w="1757"/>
            <w:vAlign w:val="center"/>
            <w:shd w:fill="F0F4F6"/>
            <w:tcMar>
              <w:top w:w="85" w:type="dxa"/>
              <w:left w:w="85" w:type="dxa"/>
              <w:bottom w:w="85" w:type="dxa"/>
              <w:right w:w="85" w:type="dxa"/>
            </w:tcMar>
          </w:tcPr>
          <w:p>
            <w:pPr>
              <w:spacing w:after="40" w:before="40" w:line="288" w:lineRule="auto"/>
            </w:pPr>
            <w:r>
              <w:rPr>
                <w:sz w:val="19"/>
              </w:rPr>
              <w:t>未证实</w:t>
            </w:r>
          </w:p>
        </w:tc>
        <w:tc>
          <w:tcPr>
            <w:tcW w:type="dxa" w:w="3827"/>
            <w:vAlign w:val="center"/>
            <w:shd w:fill="F0F4F6"/>
            <w:tcMar>
              <w:top w:w="85" w:type="dxa"/>
              <w:left w:w="85" w:type="dxa"/>
              <w:bottom w:w="85" w:type="dxa"/>
              <w:right w:w="85" w:type="dxa"/>
            </w:tcMar>
          </w:tcPr>
          <w:p>
            <w:pPr>
              <w:spacing w:after="40" w:before="40" w:line="288" w:lineRule="auto"/>
            </w:pPr>
            <w:r>
              <w:rPr>
                <w:sz w:val="19"/>
              </w:rPr>
              <w:t>本轮没有相应配套纵向比较</w:t>
            </w:r>
          </w:p>
        </w:tc>
      </w:tr>
      <w:tr>
        <w:trPr>
          <w:cantSplit/>
        </w:trPr>
        <w:tc>
          <w:tcPr>
            <w:tcW w:type="dxa" w:w="3969"/>
            <w:vAlign w:val="center"/>
            <w:shd w:fill="FFFFFF"/>
            <w:tcMar>
              <w:top w:w="85" w:type="dxa"/>
              <w:left w:w="85" w:type="dxa"/>
              <w:bottom w:w="85" w:type="dxa"/>
              <w:right w:w="85" w:type="dxa"/>
            </w:tcMar>
          </w:tcPr>
          <w:p>
            <w:pPr>
              <w:spacing w:after="40" w:before="40" w:line="288" w:lineRule="auto"/>
            </w:pPr>
            <w:r>
              <w:rPr>
                <w:sz w:val="19"/>
              </w:rPr>
              <w:t>已经产生重大治疗突破</w:t>
            </w:r>
          </w:p>
        </w:tc>
        <w:tc>
          <w:tcPr>
            <w:tcW w:type="dxa" w:w="1757"/>
            <w:vAlign w:val="center"/>
            <w:shd w:fill="FFFFFF"/>
            <w:tcMar>
              <w:top w:w="85" w:type="dxa"/>
              <w:left w:w="85" w:type="dxa"/>
              <w:bottom w:w="85" w:type="dxa"/>
              <w:right w:w="85" w:type="dxa"/>
            </w:tcMar>
          </w:tcPr>
          <w:p>
            <w:pPr>
              <w:spacing w:after="40" w:before="40" w:line="288" w:lineRule="auto"/>
            </w:pPr>
            <w:r>
              <w:rPr>
                <w:sz w:val="19"/>
              </w:rPr>
              <w:t>不能宣称</w:t>
            </w:r>
          </w:p>
        </w:tc>
        <w:tc>
          <w:tcPr>
            <w:tcW w:type="dxa" w:w="3827"/>
            <w:vAlign w:val="center"/>
            <w:shd w:fill="FFFFFF"/>
            <w:tcMar>
              <w:top w:w="85" w:type="dxa"/>
              <w:left w:w="85" w:type="dxa"/>
              <w:bottom w:w="85" w:type="dxa"/>
              <w:right w:w="85" w:type="dxa"/>
            </w:tcMar>
          </w:tcPr>
          <w:p>
            <w:pPr>
              <w:spacing w:after="40" w:before="40" w:line="288" w:lineRule="auto"/>
            </w:pPr>
            <w:r>
              <w:rPr>
                <w:sz w:val="19"/>
              </w:rPr>
              <w:t>没有本项目临床试验或疗效增量</w:t>
            </w:r>
          </w:p>
        </w:tc>
      </w:tr>
    </w:tbl>
    <w:p>
      <w:r>
        <w:rPr>
          <w:b w:val="0"/>
        </w:rPr>
      </w:r>
    </w:p>
    <w:p>
      <w:r>
        <w:rPr>
          <w:b w:val="0"/>
        </w:rPr>
        <w:t>这一轮最实在的推进，是把“差异有没有后果”再说准确：有后果仍不够，还要说明后果作用于谁、方向如何、持续多久。癌症的变化可能对其自身延续非常有效；而对患者有利的组织恢复，也可能表现为克隆集中或较低维的协调。因此不能再用多或少、旧或新、一样或不一样直接代替功能判断。</w:t>
      </w:r>
    </w:p>
    <w:p>
      <w:pPr>
        <w:shd w:fill="EDF3F6"/>
        <w:keepLines/>
      </w:pPr>
      <w:r>
        <w:rPr>
          <w:b/>
          <w:color w:val="173B53"/>
          <w:sz w:val="22"/>
        </w:rPr>
        <w:t>本轮冻结的问题：在具体患者和具体干预下，哪些早期可测的关系变化，能够提前预测恶性重建减少，同时保留正常生命继续响应的能力？</w:t>
      </w:r>
    </w:p>
    <w:p>
      <w:r>
        <w:rPr>
          <w:b w:val="0"/>
        </w:rPr>
        <w:t>这仍然沿着体系“发生—关系—历史参与后续发生”的方向，但不把一个哲学方向误写成已经完成的机制测量。模型可以比纯状态描述提出更好的问题；是否带来新的科学知识，要由提前预测、可分辨的因果干预或独立复现来证明。</w:t>
      </w:r>
    </w:p>
    <w:p>
      <w:r>
        <w:rPr>
          <w:b w:val="0"/>
        </w:rPr>
        <w:t>所以，可以写报告，而且应保留这一轮修订；但不再把“最后一刀”写成癌症已经解释完。当前可确认的是方法学边界，当前可希望的是更有效的研究设计，当前尚缺的是未知患者的独立验证。具体医疗决策仍需合格团队和循证证据，本报告不提供用药或停药建议。</w:t>
      </w:r>
    </w:p>
    <w:p>
      <w:r>
        <w:br w:type="page"/>
      </w:r>
    </w:p>
    <w:p>
      <w:pPr>
        <w:pStyle w:val="Heading1"/>
      </w:pPr>
      <w:r>
        <w:t>附录：资料来源与复算说明</w:t>
      </w:r>
    </w:p>
    <w:p>
      <w:pPr>
        <w:pStyle w:val="Heading2"/>
      </w:pPr>
      <w:r>
        <w:t>内部来源（提供理论与术语，不当作独立临床证据）</w:t>
      </w:r>
    </w:p>
    <w:p>
      <w:r>
        <w:rPr>
          <w:b w:val="0"/>
        </w:rPr>
        <w:t>[I1] 《战争是否是人类的自我反噬：反向验证研究报告》，V1.0，2026-10-03。用户上传22页DOCX。重点：图1（文件第6页）、第3.1/3.3节、附录B[I5]及结项边界。</w:t>
      </w:r>
    </w:p>
    <w:p>
      <w:r>
        <w:rPr>
          <w:b w:val="0"/>
        </w:rPr>
        <w:t>[I2] 《精神现实主义研究报告·全量增补精排版》，2026，455页。重点：第34章癌症研究；第37—38章的类型化、三账与换算/发生区分（第417—442页）。本轮只调用相关章节，不声称重新验证全部数理与古籍。</w:t>
      </w:r>
    </w:p>
    <w:p>
      <w:r>
        <w:rPr>
          <w:b w:val="0"/>
        </w:rPr>
        <w:t>[I3] 《同源而不复刻，异形而复轨：癌症反发生终极研究报告》，2026-10-03。用户对话中的前期生成文件。作为被审计的前版，不以其“重大突破候选”自评作为证据。</w:t>
      </w:r>
    </w:p>
    <w:p>
      <w:r>
        <w:rPr>
          <w:b w:val="0"/>
        </w:rPr>
        <w:t>[E1] Xu Z, Lu Z, Ugurbil A, et al. Mapping convergent regulators of melanoma drug resistance by PerturbFate. Nature. 2026;654:261–271. DOI:10.1038/s41586-026-10367-0. 重点核对119/52/46/33、基因选择及公开数据说明。</w:t>
      </w:r>
    </w:p>
    <w:p>
      <w:r>
        <w:rPr>
          <w:b w:val="0"/>
        </w:rPr>
        <w:t>[E2] Tang Z, Zhu M, Zhao S, et al. Longitudinal single-cell and TCR repertoire profiling characterizes clonal entrapment in patients with pMMR/MSS locally advanced rectal cancer. Cell Discovery. 2026;12:46. DOI:10.1038/s41421-026-00900-w.</w:t>
      </w:r>
    </w:p>
    <w:p>
      <w:r>
        <w:rPr>
          <w:b w:val="0"/>
        </w:rPr>
        <w:t>[E2a] 同上作者. Author Correction. Cell Discovery. 2026;12:55. DOI:10.1038/s41421-026-00920-6. 更正发表于2026-07-17，涉及治疗与采样安排。</w:t>
      </w:r>
    </w:p>
    <w:p>
      <w:r>
        <w:rPr>
          <w:b w:val="0"/>
        </w:rPr>
        <w:t>[E3] Liu B, Hu X, Feng K, et al. Temporal single-cell tracing reveals clonal revival and expansion of precursor exhausted T cells during anti-PD-1 therapy in lung cancer. Nature Cancer. 2022;3:108–121. DOI:10.1038/s43018-021-00292-8. 在线发表2021-12-23；本轮依主文与统计说明。</w:t>
      </w:r>
    </w:p>
    <w:p>
      <w:r>
        <w:rPr>
          <w:b w:val="0"/>
        </w:rPr>
        <w:t>[E4] Zhang L, et al. GSK-3 and BCL-XL inhibition mitigates the competitive advantage of APC-mutant colorectal cancer cells. Oncogenesis. 2025;14:25. DOI:10.1038/s41389-025-00569-y. 用户上传PDF，重点Fig.4及方法。</w:t>
      </w:r>
    </w:p>
    <w:p>
      <w:pPr>
        <w:pStyle w:val="Heading2"/>
      </w:pPr>
      <w:r>
        <w:t>复算包 [M1]</w:t>
      </w:r>
    </w:p>
    <w:p>
      <w:pPr>
        <w:pStyle w:val="Caption"/>
      </w:pPr>
      <w:r>
        <w:rPr>
          <w:b w:val="0"/>
        </w:rPr>
        <w:t>运行：python analysis/reproduce.py（依赖Python与NumPy）。输出：六种人工反例、四个公开计数比例、时间点秩上限和单一路径识别反例。所有人工数组均有synthetic标记；不含患者级原始数据或任何模型的临床准确率。</w:t>
      </w:r>
    </w:p>
    <w:p>
      <w:pPr>
        <w:pStyle w:val="Caption"/>
      </w:pPr>
      <w:r>
        <w:rPr>
          <w:b w:val="0"/>
        </w:rPr>
        <w:t>分析计划：analysis/plan_before_tables.json；下载记录：analysis/download_log.json；数值总表：analysis/results.json。网络资料核对日期：2026-10-03。重复计算不等于独立重复实验。</w:t>
      </w:r>
    </w:p>
    <w:p>
      <w:pPr>
        <w:pStyle w:val="Caption"/>
      </w:pPr>
      <w:r>
        <w:rPr>
          <w:b w:val="0"/>
        </w:rPr>
        <w:t>本地分析计划SHA-256：9a3f52cbd282decc43a15b277f4520ce</w:t>
        <w:br/>
        <w:t>773b2d03bddab0fd1893fb2af2973097</w:t>
      </w:r>
    </w:p>
    <w:sectPr w:rsidR="00FC693F" w:rsidRPr="0006063C" w:rsidSect="00034616">
      <w:headerReference w:type="default" r:id="rId9"/>
      <w:footerReference w:type="default" r:id="rId10"/>
      <w:pgSz w:w="11906" w:h="16838"/>
      <w:pgMar w:top="1077" w:right="1162" w:bottom="1020" w:left="1162"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2026.10.03  ·  V1.0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Bdr>
        <w:bottom w:val="single" w:sz="5" w:color="A8BCC9"/>
      </w:pBdr>
    </w:pPr>
    <w:r>
      <w:t>精神现实主义癌症研究  |  证据审计与阶段接续</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20"/>
      <w:widowControl/>
    </w:pPr>
    <w:rPr>
      <w:rFonts w:ascii="Noto Serif CJK SC" w:hAnsi="Noto Serif CJK SC" w:eastAsia="Noto Serif CJK SC"/>
      <w:color w:val="1721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200" w:line="324" w:lineRule="auto"/>
      <w:outlineLvl w:val="0"/>
    </w:pPr>
    <w:rPr>
      <w:rFonts w:asciiTheme="majorHAnsi" w:eastAsiaTheme="majorEastAsia" w:hAnsiTheme="majorHAnsi" w:cstheme="majorBidi" w:ascii="Noto Sans CJK SC" w:hAnsi="Noto Sans CJK SC" w:eastAsia="Noto Sans CJK SC"/>
      <w:b/>
      <w:bCs/>
      <w:color w:val="173B53"/>
      <w:sz w:val="34"/>
      <w:szCs w:val="28"/>
    </w:rPr>
  </w:style>
  <w:style w:type="paragraph" w:styleId="Heading2">
    <w:name w:val="heading 2"/>
    <w:basedOn w:val="Normal"/>
    <w:next w:val="Normal"/>
    <w:link w:val="Heading2Char"/>
    <w:uiPriority w:val="9"/>
    <w:unhideWhenUsed/>
    <w:qFormat/>
    <w:rsid w:val="00FC693F"/>
    <w:pPr>
      <w:keepNext/>
      <w:keepLines/>
      <w:spacing w:before="100" w:after="200" w:line="324" w:lineRule="auto"/>
      <w:outlineLvl w:val="1"/>
    </w:pPr>
    <w:rPr>
      <w:rFonts w:asciiTheme="majorHAnsi" w:eastAsiaTheme="majorEastAsia" w:hAnsiTheme="majorHAnsi" w:cstheme="majorBidi" w:ascii="Noto Sans CJK SC" w:hAnsi="Noto Sans CJK SC" w:eastAsia="Noto Sans CJK SC"/>
      <w:b/>
      <w:bCs/>
      <w:color w:val="173B5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324" w:lineRule="auto" w:before="100"/>
      <w:contextualSpacing/>
    </w:pPr>
    <w:rPr>
      <w:rFonts w:asciiTheme="majorHAnsi" w:eastAsiaTheme="majorEastAsia" w:hAnsiTheme="majorHAnsi" w:cstheme="majorBidi" w:ascii="Noto Sans CJK SC" w:hAnsi="Noto Sans CJK SC" w:eastAsia="Noto Sans CJK SC"/>
      <w:b/>
      <w:color w:val="173B5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4" w:lineRule="auto" w:after="120"/>
    </w:pPr>
    <w:rPr>
      <w:rFonts w:asciiTheme="majorHAnsi" w:eastAsiaTheme="majorEastAsia" w:hAnsiTheme="majorHAnsi" w:cstheme="majorBidi" w:ascii="Noto Serif CJK SC" w:hAnsi="Noto Serif CJK SC" w:eastAsia="Noto Serif CJK SC"/>
      <w:i/>
      <w:iCs/>
      <w:color w:val="52677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324" w:lineRule="auto"/>
    </w:pPr>
    <w:rPr>
      <w:rFonts w:ascii="Noto Serif CJK SC" w:hAnsi="Noto Serif CJK SC" w:eastAsia="Noto Serif CJK SC"/>
      <w:color w:val="17212B"/>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24" w:lineRule="auto" w:after="120"/>
    </w:pPr>
    <w:rPr>
      <w:rFonts w:ascii="Noto Serif CJK SC" w:hAnsi="Noto Serif CJK SC" w:eastAsia="Noto Serif CJK SC"/>
      <w:b/>
      <w:bCs/>
      <w:color w:val="53606C"/>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精神现实主义癌症研究：差异怎样改变结局</dc:title>
  <dc:subject>反向证据审计、数学反例与可检验模型；非临床建议</dc:subject>
  <dc:creator>精神现实主义研究协作</dc:creator>
  <cp:keywords>发生论;一多互摄;无住相续;癌症;有效差异;证据审计</cp:keywords>
  <dc:description>generated by python-docx</dc:description>
  <cp:lastModifiedBy/>
  <cp:revision>1</cp:revision>
  <dcterms:created xsi:type="dcterms:W3CDTF">2013-12-23T23:15:00Z</dcterms:created>
  <dcterms:modified xsi:type="dcterms:W3CDTF">2013-12-23T23:15:00Z</dcterms:modified>
  <cp:category/>
</cp:coreProperties>
</file>