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0"/>
        <w:jc w:val="center"/>
      </w:pPr>
      <w:r>
        <w:rPr>
          <w:rFonts w:ascii="Noto Sans CJK SC" w:hAnsi="Noto Sans CJK SC" w:eastAsia="Noto Sans CJK SC"/>
          <w:b/>
          <w:sz w:val="48"/>
        </w:rPr>
        <w:t>从四关系—六接口到可证伪声子动力学</w:t>
      </w:r>
    </w:p>
    <w:p>
      <w:pPr>
        <w:jc w:val="center"/>
      </w:pPr>
      <w:r>
        <w:rPr>
          <w:b/>
          <w:sz w:val="32"/>
        </w:rPr>
        <w:t>精神现实主义母结构的现代物理形式化与第一性原理检验阶段报告</w:t>
      </w:r>
    </w:p>
    <w:p>
      <w:pPr>
        <w:spacing w:before="700"/>
        <w:jc w:val="center"/>
      </w:pPr>
      <w:r>
        <w:rPr>
          <w:i/>
        </w:rPr>
        <w:t>研究性质：阶段冻结报告 / 可证伪物理阶段</w:t>
      </w:r>
    </w:p>
    <w:p>
      <w:pPr>
        <w:spacing w:before="2400"/>
        <w:jc w:val="center"/>
      </w:pPr>
      <w:r>
        <w:rPr>
          <w:b/>
        </w:rPr>
        <w:t>版本：2026-09-21</w:t>
        <w:br/>
      </w:r>
      <w:r>
        <w:t>依据：原始文集、二十一篇研究报告、Zn₄B₆O₁₃ 公开第一性原理声子数据及现代群论/非线性声子文献</w:t>
      </w:r>
    </w:p>
    <w:p>
      <w:r>
        <w:br w:type="page"/>
      </w:r>
    </w:p>
    <w:p>
      <w:pPr>
        <w:pStyle w:val="Heading1"/>
      </w:pPr>
      <w:r>
        <w:t>摘要</w:t>
      </w:r>
    </w:p>
    <w:p>
      <w:r>
        <w:t>本报告记录精神现实主义研究从“数字—几何母结构”进入“可证伪现代物理”后的阶段性结果。研究遵循既有方法学原则：规则先冻结，再看数据；原文、现代形式化、外部物理验证分层处理，不以事后补规则制造命中。</w:t>
      </w:r>
    </w:p>
    <w:p>
      <w:r>
        <w:t>研究从已冻结的“2种反向发生 → 4种基本关系 → 6个两两接口”继续下钻。六接口空间可组织为一个六维关系变量，其中公共变化给出1维模式，其余相对变化构成5维内部模式；在四面体对称下，该5维空间分裂为2维 E 与3维 T₂。该结构与三维对称无迹二阶张量的五维表示相容，但本报告不将这种数学同构直接等同于“统一量子、热力学与引力”。</w:t>
      </w:r>
    </w:p>
    <w:p>
      <w:r>
        <w:t>物理检验选择四面体点群材料 Zn₄B₆O₁₃。上传数据的官方日志确认：结构空间群 I-43m (217)，三阶力数据 FORCES_FC3 与位移数据被用于重建 fc3；fc3 的最大漂移约10⁻⁸。研究随后从原始数据独立重建 Γ 点声子谱，得到与官方日志逐项一致的69个频率，最大差小于0.001 THz。</w:t>
      </w:r>
    </w:p>
    <w:p>
      <w:r>
        <w:t>在经文献确认的 T₁≈19.25 THz 目标暗模与两个 T₂ 源模之间，真实三阶力数据给出清晰的选择规则：同一 T₂ 分支自耦合到该 T₁ 通道数值上近零（约10⁻¹³量级），而两个不同 T₂ 分支的交叉耦合为10⁻²量级的张量范数；候选 5.2497 THz + 13.9697 THz → 19.2487 THz 的失谐仅0.0293 THz。该结果与 T_d 群论中 T₂⊗T₂ 的反对称 T₁ 分量一致。</w:t>
      </w:r>
    </w:p>
    <w:p>
      <w:r>
        <w:t>必须同时强调：T₁T₂T₂ 与 ET₂T₂ 选择规则已属于现代群论与非线性声子学的已知结果，2024年相关工作已经把 Zn₄B₆O₁₃ 列为 T₁T₂T₂ 候选材料。因此，本报告不能把“存在该耦合”作为新发现。当前可能具有研究增量的是：从关系母结构独立得到同一分解后，对公开 fc3 原始数据进行材料级重建、筛选具体近共振模对、建立可直接证伪的零信号/方向/相位测试，并将这些预测在实验前冻结。</w:t>
      </w:r>
    </w:p>
    <w:tbl>
      <w:tblPr>
        <w:tblStyle w:val="TableGrid"/>
        <w:tblW w:type="auto" w:w="0"/>
        <w:jc w:val="center"/>
        <w:tblLook w:firstColumn="1" w:firstRow="1" w:lastColumn="0" w:lastRow="0" w:noHBand="0" w:noVBand="1" w:val="04A0"/>
      </w:tblPr>
      <w:tblGrid>
        <w:gridCol w:w="3211"/>
        <w:gridCol w:w="3211"/>
        <w:gridCol w:w="3211"/>
      </w:tblGrid>
      <w:tr>
        <w:tc>
          <w:tcPr>
            <w:tcW w:type="dxa" w:w="3211"/>
            <w:shd w:fill="E7E7E7"/>
            <w:vAlign w:val="center"/>
          </w:tcPr>
          <w:p>
            <w:r>
              <w:rPr>
                <w:b/>
                <w:sz w:val="18"/>
              </w:rPr>
              <w:t>结论层级</w:t>
            </w:r>
          </w:p>
        </w:tc>
        <w:tc>
          <w:tcPr>
            <w:tcW w:type="dxa" w:w="3211"/>
            <w:shd w:fill="E7E7E7"/>
            <w:vAlign w:val="center"/>
          </w:tcPr>
          <w:p>
            <w:r>
              <w:rPr>
                <w:b/>
                <w:sz w:val="18"/>
              </w:rPr>
              <w:t>当前状态</w:t>
            </w:r>
          </w:p>
        </w:tc>
        <w:tc>
          <w:tcPr>
            <w:tcW w:type="dxa" w:w="3211"/>
            <w:shd w:fill="E7E7E7"/>
            <w:vAlign w:val="center"/>
          </w:tcPr>
          <w:p>
            <w:r>
              <w:rPr>
                <w:b/>
                <w:sz w:val="18"/>
              </w:rPr>
              <w:t>本报告措辞</w:t>
            </w:r>
          </w:p>
        </w:tc>
      </w:tr>
      <w:tr>
        <w:tc>
          <w:tcPr>
            <w:tcW w:type="dxa" w:w="3211"/>
            <w:vAlign w:val="center"/>
          </w:tcPr>
          <w:p>
            <w:r>
              <w:rPr>
                <w:sz w:val="17"/>
              </w:rPr>
              <w:t>数学母结构</w:t>
            </w:r>
          </w:p>
        </w:tc>
        <w:tc>
          <w:tcPr>
            <w:tcW w:type="dxa" w:w="3211"/>
            <w:vAlign w:val="center"/>
          </w:tcPr>
          <w:p>
            <w:r>
              <w:rPr>
                <w:sz w:val="17"/>
              </w:rPr>
              <w:t>强</w:t>
            </w:r>
          </w:p>
        </w:tc>
        <w:tc>
          <w:tcPr>
            <w:tcW w:type="dxa" w:w="3211"/>
            <w:vAlign w:val="center"/>
          </w:tcPr>
          <w:p>
            <w:r>
              <w:rPr>
                <w:sz w:val="17"/>
              </w:rPr>
              <w:t>可证明/可复算</w:t>
            </w:r>
          </w:p>
        </w:tc>
      </w:tr>
      <w:tr>
        <w:tc>
          <w:tcPr>
            <w:tcW w:type="dxa" w:w="3211"/>
            <w:vAlign w:val="center"/>
          </w:tcPr>
          <w:p>
            <w:r>
              <w:rPr>
                <w:sz w:val="17"/>
              </w:rPr>
              <w:t>T_d 选择规则</w:t>
            </w:r>
          </w:p>
        </w:tc>
        <w:tc>
          <w:tcPr>
            <w:tcW w:type="dxa" w:w="3211"/>
            <w:vAlign w:val="center"/>
          </w:tcPr>
          <w:p>
            <w:r>
              <w:rPr>
                <w:sz w:val="17"/>
              </w:rPr>
              <w:t>强但属已知物理</w:t>
            </w:r>
          </w:p>
        </w:tc>
        <w:tc>
          <w:tcPr>
            <w:tcW w:type="dxa" w:w="3211"/>
            <w:vAlign w:val="center"/>
          </w:tcPr>
          <w:p>
            <w:r>
              <w:rPr>
                <w:sz w:val="17"/>
              </w:rPr>
              <w:t>外部命中，不宣称首创</w:t>
            </w:r>
          </w:p>
        </w:tc>
      </w:tr>
      <w:tr>
        <w:tc>
          <w:tcPr>
            <w:tcW w:type="dxa" w:w="3211"/>
            <w:vAlign w:val="center"/>
          </w:tcPr>
          <w:p>
            <w:r>
              <w:rPr>
                <w:sz w:val="17"/>
              </w:rPr>
              <w:t>Zn₄B₆O₁₃ 具体候选通道</w:t>
            </w:r>
          </w:p>
        </w:tc>
        <w:tc>
          <w:tcPr>
            <w:tcW w:type="dxa" w:w="3211"/>
            <w:vAlign w:val="center"/>
          </w:tcPr>
          <w:p>
            <w:r>
              <w:rPr>
                <w:sz w:val="17"/>
              </w:rPr>
              <w:t>中强</w:t>
            </w:r>
          </w:p>
        </w:tc>
        <w:tc>
          <w:tcPr>
            <w:tcW w:type="dxa" w:w="3211"/>
            <w:vAlign w:val="center"/>
          </w:tcPr>
          <w:p>
            <w:r>
              <w:rPr>
                <w:sz w:val="17"/>
              </w:rPr>
              <w:t>第一性原理数据支持，待实验</w:t>
            </w:r>
          </w:p>
        </w:tc>
      </w:tr>
      <w:tr>
        <w:tc>
          <w:tcPr>
            <w:tcW w:type="dxa" w:w="3211"/>
            <w:vAlign w:val="center"/>
          </w:tcPr>
          <w:p>
            <w:r>
              <w:rPr>
                <w:sz w:val="17"/>
              </w:rPr>
              <w:t>绝对实验幅度</w:t>
            </w:r>
          </w:p>
        </w:tc>
        <w:tc>
          <w:tcPr>
            <w:tcW w:type="dxa" w:w="3211"/>
            <w:vAlign w:val="center"/>
          </w:tcPr>
          <w:p>
            <w:r>
              <w:rPr>
                <w:sz w:val="17"/>
              </w:rPr>
              <w:t>未完成</w:t>
            </w:r>
          </w:p>
        </w:tc>
        <w:tc>
          <w:tcPr>
            <w:tcW w:type="dxa" w:w="3211"/>
            <w:vAlign w:val="center"/>
          </w:tcPr>
          <w:p>
            <w:r>
              <w:rPr>
                <w:sz w:val="17"/>
              </w:rPr>
              <w:t>需规范化耦合单位、linewidth、泵浦场强</w:t>
            </w:r>
          </w:p>
        </w:tc>
      </w:tr>
      <w:tr>
        <w:tc>
          <w:tcPr>
            <w:tcW w:type="dxa" w:w="3211"/>
            <w:vAlign w:val="center"/>
          </w:tcPr>
          <w:p>
            <w:r>
              <w:rPr>
                <w:sz w:val="17"/>
              </w:rPr>
              <w:t>三大物理统一</w:t>
            </w:r>
          </w:p>
        </w:tc>
        <w:tc>
          <w:tcPr>
            <w:tcW w:type="dxa" w:w="3211"/>
            <w:vAlign w:val="center"/>
          </w:tcPr>
          <w:p>
            <w:r>
              <w:rPr>
                <w:sz w:val="17"/>
              </w:rPr>
              <w:t>未完成</w:t>
            </w:r>
          </w:p>
        </w:tc>
        <w:tc>
          <w:tcPr>
            <w:tcW w:type="dxa" w:w="3211"/>
            <w:vAlign w:val="center"/>
          </w:tcPr>
          <w:p>
            <w:r>
              <w:rPr>
                <w:sz w:val="17"/>
              </w:rPr>
              <w:t>仅保留为后续母连接/表示研究方向</w:t>
            </w:r>
          </w:p>
        </w:tc>
      </w:tr>
    </w:tbl>
    <w:p>
      <w:r>
        <w:drawing>
          <wp:inline xmlns:a="http://schemas.openxmlformats.org/drawingml/2006/main" xmlns:pic="http://schemas.openxmlformats.org/drawingml/2006/picture">
            <wp:extent cx="5852160" cy="1799639"/>
            <wp:docPr id="1" name="Picture 1"/>
            <wp:cNvGraphicFramePr>
              <a:graphicFrameLocks noChangeAspect="1"/>
            </wp:cNvGraphicFramePr>
            <a:graphic>
              <a:graphicData uri="http://schemas.openxmlformats.org/drawingml/2006/picture">
                <pic:pic>
                  <pic:nvPicPr>
                    <pic:cNvPr id="0" name="flow.png"/>
                    <pic:cNvPicPr/>
                  </pic:nvPicPr>
                  <pic:blipFill>
                    <a:blip r:embed="rId9"/>
                    <a:stretch>
                      <a:fillRect/>
                    </a:stretch>
                  </pic:blipFill>
                  <pic:spPr>
                    <a:xfrm>
                      <a:off x="0" y="0"/>
                      <a:ext cx="5852160" cy="1799639"/>
                    </a:xfrm>
                    <a:prstGeom prst="rect"/>
                  </pic:spPr>
                </pic:pic>
              </a:graphicData>
            </a:graphic>
          </wp:inline>
        </w:drawing>
      </w:r>
    </w:p>
    <w:p>
      <w:pPr>
        <w:jc w:val="center"/>
      </w:pPr>
      <w:r>
        <w:rPr>
          <w:i/>
          <w:sz w:val="18"/>
        </w:rPr>
        <w:t>图1  本阶段冻结的生成链与研究边界</w:t>
      </w:r>
    </w:p>
    <w:p>
      <w:pPr>
        <w:pStyle w:val="Heading1"/>
      </w:pPr>
      <w:r>
        <w:t>1. 研究来源、对象与方法学</w:t>
      </w:r>
    </w:p>
    <w:p>
      <w:pPr>
        <w:pStyle w:val="Heading2"/>
      </w:pPr>
      <w:r>
        <w:t>1.1 原始来源</w:t>
      </w:r>
    </w:p>
    <w:p>
      <w:r>
        <w:t>本报告使用两类内部来源：（1）《精神现实主义文集》，用于确定作者原始命题、术语与动力直觉；（2）《精神现实主义研究系列报告合集·二十一篇完整版·研究补遗版》，用于确定此前已经冻结的数学母结构、方法学边界和后续研究任务。现代物理术语、群论、声子动力学与第一性原理数据属于第三层形式化/外部检验，不反向改写原文。</w:t>
      </w:r>
    </w:p>
    <w:p>
      <w:r>
        <w:t>原文最核心的动力命题是“转不是圆”：一圈之后内部组织更新、着力点下沉。后期原文又把5表述为涡核形成的成数，并以“3的发动、2的蓄能”描述其内部功能。研究报告则把更底层的母结构压缩为：反向发生 → 四种一级关系 → 完全两两作用 → 六接口。</w:t>
      </w:r>
    </w:p>
    <w:p>
      <w:pPr>
        <w:pStyle w:val="Heading2"/>
      </w:pPr>
      <w:r>
        <w:t>1.2 研究原则：冻结后再检验</w:t>
      </w:r>
    </w:p>
    <w:p>
      <w:r>
        <w:t>本报告继续采用“规则先冻结，再看数据”的原则。凡是只有看到材料数据后才新增的解释，不计为理论成功；凡是与已知现代群论完全相同的结论，必须标注“外部命中/独立重现”，而不是“新发现”。</w:t>
      </w:r>
    </w:p>
    <w:p>
      <w:pPr>
        <w:pStyle w:val="Heading1"/>
      </w:pPr>
      <w:r>
        <w:t>2. 从四关系—六接口到 6=1+5=1+(2+3)</w:t>
      </w:r>
    </w:p>
    <w:p>
      <w:r>
        <w:t>设四个基本关系为 R₁,R₂,R₃,R₄。全部两两接口数为 C(4,2)=6，可记为 q₁₂,q₁₃,q₁₄,q₂₃,q₂₄,q₃₄。六个接口的共同变化构成1维公共模式；去掉公共模式后剩余5维相对内部空间。</w:t>
      </w:r>
    </w:p>
    <w:p>
      <w:pPr>
        <w:pStyle w:val="Formula"/>
        <w:jc w:val="center"/>
      </w:pPr>
      <w:r>
        <w:rPr>
          <w:rFonts w:ascii="Liberation Serif" w:hAnsi="Liberation Serif"/>
          <w:sz w:val="23"/>
        </w:rPr>
        <w:t>6 = 1 + 5</w:t>
      </w:r>
    </w:p>
    <w:p>
      <w:r>
        <w:t>在四面体 T_d 对称下，这个5维相对空间进一步分解为二维 E 与三维 T₂：</w:t>
      </w:r>
    </w:p>
    <w:p>
      <w:pPr>
        <w:pStyle w:val="Formula"/>
        <w:jc w:val="center"/>
      </w:pPr>
      <w:r>
        <w:rPr>
          <w:rFonts w:ascii="Liberation Serif" w:hAnsi="Liberation Serif"/>
          <w:sz w:val="23"/>
        </w:rPr>
        <w:t>5 = E ⊕ T₂ = 2 + 3</w:t>
      </w:r>
    </w:p>
    <w:p>
      <w:r>
        <w:t>因此同一结构可写为：</w:t>
      </w:r>
    </w:p>
    <w:p>
      <w:pPr>
        <w:pStyle w:val="Formula"/>
        <w:jc w:val="center"/>
      </w:pPr>
      <w:r>
        <w:rPr>
          <w:rFonts w:ascii="Liberation Serif" w:hAnsi="Liberation Serif"/>
          <w:sz w:val="23"/>
        </w:rPr>
        <w:t>6 = 1 + 2 + 3</w:t>
      </w:r>
    </w:p>
    <w:p>
      <w:r>
        <w:t>这一步的物理意义必须控制：它首先是表示论/关系空间分解。把5称为 spin-2 型或对称无迹张量空间是合法的数学同构；把它进一步解释成“宇宙唯一基本场”则超出当前证据。</w:t>
      </w:r>
    </w:p>
    <w:p>
      <w:pPr>
        <w:pStyle w:val="Heading2"/>
      </w:pPr>
      <w:r>
        <w:t>2.1 与 T_d 标准表示论的关系</w:t>
      </w:r>
    </w:p>
    <w:p>
      <w:r>
        <w:t>标准 T_d 直积表给出 T₂⊗T₂ = A₁ + E + T₁ + T₂。其中 T₁ 属于反对称部分；对同一个 T₂ 模的对称平方，T₁ 不出现。因此，同一分支的静态二次自乘不能产生 T₁，而两个不同 T₂ 分支之间可以通过反对称双线性组合产生 T₁。</w:t>
      </w:r>
    </w:p>
    <w:p>
      <w:pPr>
        <w:pStyle w:val="Formula"/>
        <w:jc w:val="center"/>
      </w:pPr>
      <w:r>
        <w:rPr>
          <w:rFonts w:ascii="Liberation Serif" w:hAnsi="Liberation Serif"/>
          <w:sz w:val="23"/>
        </w:rPr>
        <w:t>Sym²(T₂) = A₁ ⊕ E ⊕ T₂,    Λ²(T₂) = T₁</w:t>
      </w:r>
    </w:p>
    <w:p>
      <w:pPr>
        <w:pStyle w:val="Heading1"/>
      </w:pPr>
      <w:r>
        <w:t>3. 现代物理接口：哪些已站住，哪些尚未站住</w:t>
      </w:r>
    </w:p>
    <w:p>
      <w:pPr>
        <w:pStyle w:val="Heading2"/>
      </w:pPr>
      <w:r>
        <w:t>3.1 已站住的共同数学对象</w:t>
      </w:r>
    </w:p>
    <w:p>
      <w:r>
        <w:t>五维 E⊕T₂ 空间与三维对称无迹二阶张量的五个独立分量同构；它也与 l=2 表示空间相容。该数学事实能够同时出现在连续介质、量子多极矩和引力曲率的不同表述中。</w:t>
      </w:r>
    </w:p>
    <w:p>
      <w:r>
        <w:t>但“使用同一个表示空间”不等于“这些物理场就是同一个场”。尤其在广义相对论中，无质量引力波最终只有两个传播偏振；不能把五维无迹张量空间直接说成五个引力传播自由度。</w:t>
      </w:r>
    </w:p>
    <w:p>
      <w:pPr>
        <w:pStyle w:val="Heading2"/>
      </w:pPr>
      <w:r>
        <w:t>3.2 本报告不再宣称的内容</w:t>
      </w:r>
    </w:p>
    <w:tbl>
      <w:tblPr>
        <w:tblStyle w:val="TableGrid"/>
        <w:tblW w:type="auto" w:w="0"/>
        <w:jc w:val="center"/>
        <w:tblLook w:firstColumn="1" w:firstRow="1" w:lastColumn="0" w:lastRow="0" w:noHBand="0" w:noVBand="1" w:val="04A0"/>
      </w:tblPr>
      <w:tblGrid>
        <w:gridCol w:w="3211"/>
        <w:gridCol w:w="3211"/>
        <w:gridCol w:w="3211"/>
      </w:tblGrid>
      <w:tr>
        <w:tc>
          <w:tcPr>
            <w:tcW w:type="dxa" w:w="3211"/>
            <w:shd w:fill="E7E7E7"/>
            <w:vAlign w:val="center"/>
          </w:tcPr>
          <w:p>
            <w:r>
              <w:rPr>
                <w:b/>
                <w:sz w:val="18"/>
              </w:rPr>
              <w:t>曾出现的强表述</w:t>
            </w:r>
          </w:p>
        </w:tc>
        <w:tc>
          <w:tcPr>
            <w:tcW w:type="dxa" w:w="3211"/>
            <w:shd w:fill="E7E7E7"/>
            <w:vAlign w:val="center"/>
          </w:tcPr>
          <w:p>
            <w:r>
              <w:rPr>
                <w:b/>
                <w:sz w:val="18"/>
              </w:rPr>
              <w:t>审计结论</w:t>
            </w:r>
          </w:p>
        </w:tc>
        <w:tc>
          <w:tcPr>
            <w:tcW w:type="dxa" w:w="3211"/>
            <w:shd w:fill="E7E7E7"/>
            <w:vAlign w:val="center"/>
          </w:tcPr>
          <w:p>
            <w:r>
              <w:rPr>
                <w:b/>
                <w:sz w:val="18"/>
              </w:rPr>
              <w:t>处理</w:t>
            </w:r>
          </w:p>
        </w:tc>
      </w:tr>
      <w:tr>
        <w:tc>
          <w:tcPr>
            <w:tcW w:type="dxa" w:w="3211"/>
            <w:vAlign w:val="center"/>
          </w:tcPr>
          <w:p>
            <w:r>
              <w:rPr>
                <w:sz w:val="17"/>
              </w:rPr>
              <w:t>“5就是三大物理共同残差维数”</w:t>
            </w:r>
          </w:p>
        </w:tc>
        <w:tc>
          <w:tcPr>
            <w:tcW w:type="dxa" w:w="3211"/>
            <w:vAlign w:val="center"/>
          </w:tcPr>
          <w:p>
            <w:r>
              <w:rPr>
                <w:sz w:val="17"/>
              </w:rPr>
              <w:t>不成立</w:t>
            </w:r>
          </w:p>
        </w:tc>
        <w:tc>
          <w:tcPr>
            <w:tcW w:type="dxa" w:w="3211"/>
            <w:vAlign w:val="center"/>
          </w:tcPr>
          <w:p>
            <w:r>
              <w:rPr>
                <w:sz w:val="17"/>
              </w:rPr>
              <w:t>删除</w:t>
            </w:r>
          </w:p>
        </w:tc>
      </w:tr>
      <w:tr>
        <w:tc>
          <w:tcPr>
            <w:tcW w:type="dxa" w:w="3211"/>
            <w:vAlign w:val="center"/>
          </w:tcPr>
          <w:p>
            <w:r>
              <w:rPr>
                <w:sz w:val="17"/>
              </w:rPr>
              <w:t>“热泵整数天然等于量子 C=4”</w:t>
            </w:r>
          </w:p>
        </w:tc>
        <w:tc>
          <w:tcPr>
            <w:tcW w:type="dxa" w:w="3211"/>
            <w:vAlign w:val="center"/>
          </w:tcPr>
          <w:p>
            <w:r>
              <w:rPr>
                <w:sz w:val="17"/>
              </w:rPr>
              <w:t>不成立</w:t>
            </w:r>
          </w:p>
        </w:tc>
        <w:tc>
          <w:tcPr>
            <w:tcW w:type="dxa" w:w="3211"/>
            <w:vAlign w:val="center"/>
          </w:tcPr>
          <w:p>
            <w:r>
              <w:rPr>
                <w:sz w:val="17"/>
              </w:rPr>
              <w:t>删除</w:t>
            </w:r>
          </w:p>
        </w:tc>
      </w:tr>
      <w:tr>
        <w:tc>
          <w:tcPr>
            <w:tcW w:type="dxa" w:w="3211"/>
            <w:vAlign w:val="center"/>
          </w:tcPr>
          <w:p>
            <w:r>
              <w:rPr>
                <w:sz w:val="17"/>
              </w:rPr>
              <w:t>“360+5 已成为现代物理普适常数”</w:t>
            </w:r>
          </w:p>
        </w:tc>
        <w:tc>
          <w:tcPr>
            <w:tcW w:type="dxa" w:w="3211"/>
            <w:vAlign w:val="center"/>
          </w:tcPr>
          <w:p>
            <w:r>
              <w:rPr>
                <w:sz w:val="17"/>
              </w:rPr>
              <w:t>未证明</w:t>
            </w:r>
          </w:p>
        </w:tc>
        <w:tc>
          <w:tcPr>
            <w:tcW w:type="dxa" w:w="3211"/>
            <w:vAlign w:val="center"/>
          </w:tcPr>
          <w:p>
            <w:r>
              <w:rPr>
                <w:sz w:val="17"/>
              </w:rPr>
              <w:t>降为文化/结构候选</w:t>
            </w:r>
          </w:p>
        </w:tc>
      </w:tr>
      <w:tr>
        <w:tc>
          <w:tcPr>
            <w:tcW w:type="dxa" w:w="3211"/>
            <w:vAlign w:val="center"/>
          </w:tcPr>
          <w:p>
            <w:r>
              <w:rPr>
                <w:sz w:val="17"/>
              </w:rPr>
              <w:t>“四关系本身唯一推出 Einstein 动力学”</w:t>
            </w:r>
          </w:p>
        </w:tc>
        <w:tc>
          <w:tcPr>
            <w:tcW w:type="dxa" w:w="3211"/>
            <w:vAlign w:val="center"/>
          </w:tcPr>
          <w:p>
            <w:r>
              <w:rPr>
                <w:sz w:val="17"/>
              </w:rPr>
              <w:t>不成立</w:t>
            </w:r>
          </w:p>
        </w:tc>
        <w:tc>
          <w:tcPr>
            <w:tcW w:type="dxa" w:w="3211"/>
            <w:vAlign w:val="center"/>
          </w:tcPr>
          <w:p>
            <w:r>
              <w:rPr>
                <w:sz w:val="17"/>
              </w:rPr>
              <w:t>仅能提供运动学入口</w:t>
            </w:r>
          </w:p>
        </w:tc>
      </w:tr>
      <w:tr>
        <w:tc>
          <w:tcPr>
            <w:tcW w:type="dxa" w:w="3211"/>
            <w:vAlign w:val="center"/>
          </w:tcPr>
          <w:p>
            <w:r>
              <w:rPr>
                <w:sz w:val="17"/>
              </w:rPr>
              <w:t>“T₁T₂T₂ 是本研究首次发现”</w:t>
            </w:r>
          </w:p>
        </w:tc>
        <w:tc>
          <w:tcPr>
            <w:tcW w:type="dxa" w:w="3211"/>
            <w:vAlign w:val="center"/>
          </w:tcPr>
          <w:p>
            <w:r>
              <w:rPr>
                <w:sz w:val="17"/>
              </w:rPr>
              <w:t>不成立，已有群论/文献</w:t>
            </w:r>
          </w:p>
        </w:tc>
        <w:tc>
          <w:tcPr>
            <w:tcW w:type="dxa" w:w="3211"/>
            <w:vAlign w:val="center"/>
          </w:tcPr>
          <w:p>
            <w:r>
              <w:rPr>
                <w:sz w:val="17"/>
              </w:rPr>
              <w:t>改写为外部独立命中</w:t>
            </w:r>
          </w:p>
        </w:tc>
      </w:tr>
    </w:tbl>
    <w:p>
      <w:pPr>
        <w:pStyle w:val="Heading1"/>
      </w:pPr>
      <w:r>
        <w:t>4. 外部检验对象：Zn₄B₆O₁₃ 第一性原理数据</w:t>
      </w:r>
    </w:p>
    <w:p>
      <w:pPr>
        <w:pStyle w:val="Heading2"/>
      </w:pPr>
      <w:r>
        <w:t>4.1 数据来源与官方计算链</w:t>
      </w:r>
    </w:p>
    <w:p>
      <w:r>
        <w:t>本阶段使用用户上传的 NIMS 数据包与 LTC-calc.log。官方日志明确记录：结构来自 phono3py_mlp_eval_fc3_disp.yaml.xz，空间群为 I-43m (217)；随后读取 FORCES_FC3 与三阶位移数据，计算、展开并对称化 fc3，最终写出 fc3.hdf5。</w:t>
      </w:r>
    </w:p>
    <w:p>
      <w:r>
        <w:t>官方日志中 fc3 的最大漂移约为 1×10⁻⁸，说明平移和置换对称性误差很小。日志同时包含 Born 有效电荷、介电常数、Γ点频率与后续热导计算信息。</w:t>
      </w:r>
    </w:p>
    <w:p>
      <w:pPr>
        <w:pStyle w:val="Heading2"/>
      </w:pPr>
      <w:r>
        <w:t>4.2 独立二阶重建自检</w:t>
      </w:r>
    </w:p>
    <w:p>
      <w:r>
        <w:t>我们从上传的二阶位移—力数据独立重建 Γ 点动力矩阵。69个频率与官方日志逐项比较，最大绝对差约 7.8×10⁻⁴ THz，平均绝对差约 3.3×10⁻⁴ THz；三条声学支仅出现约 5.7×10⁻⁴ THz 的数值残差。该结果说明本阶段的模式基底和质量归一化至少在二阶层面是可复算的。</w:t>
      </w:r>
    </w:p>
    <w:p>
      <w:r>
        <w:drawing>
          <wp:inline xmlns:a="http://schemas.openxmlformats.org/drawingml/2006/main" xmlns:pic="http://schemas.openxmlformats.org/drawingml/2006/picture">
            <wp:extent cx="5669280" cy="4251960"/>
            <wp:docPr id="2" name="Picture 2"/>
            <wp:cNvGraphicFramePr>
              <a:graphicFrameLocks noChangeAspect="1"/>
            </wp:cNvGraphicFramePr>
            <a:graphic>
              <a:graphicData uri="http://schemas.openxmlformats.org/drawingml/2006/picture">
                <pic:pic>
                  <pic:nvPicPr>
                    <pic:cNvPr id="0" name="band_pdos.png"/>
                    <pic:cNvPicPr/>
                  </pic:nvPicPr>
                  <pic:blipFill>
                    <a:blip r:embed="rId10"/>
                    <a:stretch>
                      <a:fillRect/>
                    </a:stretch>
                  </pic:blipFill>
                  <pic:spPr>
                    <a:xfrm>
                      <a:off x="0" y="0"/>
                      <a:ext cx="5669280" cy="4251960"/>
                    </a:xfrm>
                    <a:prstGeom prst="rect"/>
                  </pic:spPr>
                </pic:pic>
              </a:graphicData>
            </a:graphic>
          </wp:inline>
        </w:drawing>
      </w:r>
    </w:p>
    <w:p>
      <w:pPr>
        <w:jc w:val="center"/>
      </w:pPr>
      <w:r>
        <w:rPr>
          <w:i/>
          <w:sz w:val="18"/>
        </w:rPr>
        <w:t>图2  数据包所附 Zn₄B₆O₁₃ 声子色散与声子态密度（band_pdos.png）</w:t>
      </w:r>
    </w:p>
    <w:p>
      <w:pPr>
        <w:pStyle w:val="Heading1"/>
      </w:pPr>
      <w:r>
        <w:t>5. 三阶耦合重建与核心结果</w:t>
      </w:r>
    </w:p>
    <w:p>
      <w:pPr>
        <w:pStyle w:val="Heading2"/>
      </w:pPr>
      <w:r>
        <w:t>5.1 目标：不看“频率像不像”，直接看三阶力是否允许并足够强</w:t>
      </w:r>
    </w:p>
    <w:p>
      <w:r>
        <w:t>频率和频/差频接近并不足以证明物理耦合，因为多模系统存在显著的多重比较效应。真正决定候选是否值得实验的是三阶力常数投影到具体正常模后的系数。</w:t>
      </w:r>
    </w:p>
    <w:p>
      <w:r>
        <w:t>本阶段以质量归一化正常坐标建立三阶模式耦合指标。由于尚未完成与非线性声子文献中特定坐标单位的绝对标定，本报告把该系数作为“内部规范下的相对耦合指标”；零/非零、相对排序与对称性结构可信度高于其绝对数值的直接实验解释。</w:t>
      </w:r>
    </w:p>
    <w:p>
      <w:pPr>
        <w:pStyle w:val="Heading2"/>
      </w:pPr>
      <w:r>
        <w:t>5.2 核心选择规则的数值复现</w:t>
      </w:r>
    </w:p>
    <w:p>
      <w:r>
        <w:t>对文献确认的约19.25 THz T₁暗模，所有同一 T₂ 分支的自乘耦合在本重建中保持在约10⁻¹³或更小量级；而不同 T₂ 分支的交叉通道可达到10⁻²量级的张量范数。以候选 A 为例，交叉耦合张量范数约1.25×10⁻²，而同目标下最大的自耦合残差约1.03×10⁻¹³，数值抑制超过10¹¹倍。</w:t>
      </w:r>
    </w:p>
    <w:p>
      <w:r>
        <w:t>这一结果与 Sym²(T₂) 不含 T₁、Λ²(T₂)=T₁ 的标准群论完全一致，因此它首先是对数据重建和模式识别的强自检。它不能被宣传为新群论定理，但它说明真实第一性原理 fc3 确实实现了冻结后的选择规则。</w:t>
      </w:r>
    </w:p>
    <w:p>
      <w:r>
        <w:drawing>
          <wp:inline xmlns:a="http://schemas.openxmlformats.org/drawingml/2006/main" xmlns:pic="http://schemas.openxmlformats.org/drawingml/2006/picture">
            <wp:extent cx="4754880" cy="4877209"/>
            <wp:docPr id="3" name="Picture 3"/>
            <wp:cNvGraphicFramePr>
              <a:graphicFrameLocks noChangeAspect="1"/>
            </wp:cNvGraphicFramePr>
            <a:graphic>
              <a:graphicData uri="http://schemas.openxmlformats.org/drawingml/2006/picture">
                <pic:pic>
                  <pic:nvPicPr>
                    <pic:cNvPr id="0" name="selection.png"/>
                    <pic:cNvPicPr/>
                  </pic:nvPicPr>
                  <pic:blipFill>
                    <a:blip r:embed="rId11"/>
                    <a:stretch>
                      <a:fillRect/>
                    </a:stretch>
                  </pic:blipFill>
                  <pic:spPr>
                    <a:xfrm>
                      <a:off x="0" y="0"/>
                      <a:ext cx="4754880" cy="4877209"/>
                    </a:xfrm>
                    <a:prstGeom prst="rect"/>
                  </pic:spPr>
                </pic:pic>
              </a:graphicData>
            </a:graphic>
          </wp:inline>
        </w:drawing>
      </w:r>
    </w:p>
    <w:p>
      <w:pPr>
        <w:jc w:val="center"/>
      </w:pPr>
      <w:r>
        <w:rPr>
          <w:i/>
          <w:sz w:val="18"/>
        </w:rPr>
        <w:t>图3  T₁ 通道的反对称双线性结构示意。实验上应通过模式坐标而非简单实验室偏振判断“平行/正交”。</w:t>
      </w:r>
    </w:p>
    <w:p>
      <w:pPr>
        <w:pStyle w:val="Heading2"/>
      </w:pPr>
      <w:r>
        <w:t>5.3 候选通道排序</w:t>
      </w:r>
    </w:p>
    <w:tbl>
      <w:tblPr>
        <w:tblStyle w:val="TableGrid"/>
        <w:tblW w:type="auto" w:w="0"/>
        <w:jc w:val="center"/>
        <w:tblLook w:firstColumn="1" w:firstRow="1" w:lastColumn="0" w:lastRow="0" w:noHBand="0" w:noVBand="1" w:val="04A0"/>
      </w:tblPr>
      <w:tblGrid>
        <w:gridCol w:w="963"/>
        <w:gridCol w:w="963"/>
        <w:gridCol w:w="963"/>
        <w:gridCol w:w="963"/>
        <w:gridCol w:w="963"/>
        <w:gridCol w:w="963"/>
        <w:gridCol w:w="963"/>
        <w:gridCol w:w="963"/>
        <w:gridCol w:w="963"/>
        <w:gridCol w:w="963"/>
      </w:tblGrid>
      <w:tr>
        <w:tc>
          <w:tcPr>
            <w:tcW w:type="dxa" w:w="963"/>
            <w:shd w:fill="E7E7E7"/>
            <w:vAlign w:val="center"/>
          </w:tcPr>
          <w:p>
            <w:r>
              <w:rPr>
                <w:b/>
                <w:sz w:val="18"/>
              </w:rPr>
              <w:t>候选</w:t>
            </w:r>
          </w:p>
        </w:tc>
        <w:tc>
          <w:tcPr>
            <w:tcW w:type="dxa" w:w="963"/>
            <w:shd w:fill="E7E7E7"/>
            <w:vAlign w:val="center"/>
          </w:tcPr>
          <w:p>
            <w:r>
              <w:rPr>
                <w:b/>
                <w:sz w:val="18"/>
              </w:rPr>
              <w:t>目标</w:t>
            </w:r>
          </w:p>
        </w:tc>
        <w:tc>
          <w:tcPr>
            <w:tcW w:type="dxa" w:w="963"/>
            <w:shd w:fill="E7E7E7"/>
            <w:vAlign w:val="center"/>
          </w:tcPr>
          <w:p>
            <w:r>
              <w:rPr>
                <w:b/>
                <w:sz w:val="18"/>
              </w:rPr>
              <w:t>源1/THz</w:t>
            </w:r>
          </w:p>
        </w:tc>
        <w:tc>
          <w:tcPr>
            <w:tcW w:type="dxa" w:w="963"/>
            <w:shd w:fill="E7E7E7"/>
            <w:vAlign w:val="center"/>
          </w:tcPr>
          <w:p>
            <w:r>
              <w:rPr>
                <w:b/>
                <w:sz w:val="18"/>
              </w:rPr>
              <w:t>源2/THz</w:t>
            </w:r>
          </w:p>
        </w:tc>
        <w:tc>
          <w:tcPr>
            <w:tcW w:type="dxa" w:w="963"/>
            <w:shd w:fill="E7E7E7"/>
            <w:vAlign w:val="center"/>
          </w:tcPr>
          <w:p>
            <w:r>
              <w:rPr>
                <w:b/>
                <w:sz w:val="18"/>
              </w:rPr>
              <w:t>过程</w:t>
            </w:r>
          </w:p>
        </w:tc>
        <w:tc>
          <w:tcPr>
            <w:tcW w:type="dxa" w:w="963"/>
            <w:shd w:fill="E7E7E7"/>
            <w:vAlign w:val="center"/>
          </w:tcPr>
          <w:p>
            <w:r>
              <w:rPr>
                <w:b/>
                <w:sz w:val="18"/>
              </w:rPr>
              <w:t>目标/THz</w:t>
            </w:r>
          </w:p>
        </w:tc>
        <w:tc>
          <w:tcPr>
            <w:tcW w:type="dxa" w:w="963"/>
            <w:shd w:fill="E7E7E7"/>
            <w:vAlign w:val="center"/>
          </w:tcPr>
          <w:p>
            <w:r>
              <w:rPr>
                <w:b/>
                <w:sz w:val="18"/>
              </w:rPr>
              <w:t>失谐/THz</w:t>
            </w:r>
          </w:p>
        </w:tc>
        <w:tc>
          <w:tcPr>
            <w:tcW w:type="dxa" w:w="963"/>
            <w:shd w:fill="E7E7E7"/>
            <w:vAlign w:val="center"/>
          </w:tcPr>
          <w:p>
            <w:r>
              <w:rPr>
                <w:b/>
                <w:sz w:val="18"/>
              </w:rPr>
              <w:t>耦合指标</w:t>
            </w:r>
          </w:p>
        </w:tc>
        <w:tc>
          <w:tcPr>
            <w:tcW w:type="dxa" w:w="963"/>
            <w:shd w:fill="E7E7E7"/>
            <w:vAlign w:val="center"/>
          </w:tcPr>
          <w:p>
            <w:r>
              <w:rPr>
                <w:b/>
                <w:sz w:val="18"/>
              </w:rPr>
              <w:t>|Z₁|</w:t>
            </w:r>
          </w:p>
        </w:tc>
        <w:tc>
          <w:tcPr>
            <w:tcW w:type="dxa" w:w="963"/>
            <w:shd w:fill="E7E7E7"/>
            <w:vAlign w:val="center"/>
          </w:tcPr>
          <w:p>
            <w:r>
              <w:rPr>
                <w:b/>
                <w:sz w:val="18"/>
              </w:rPr>
              <w:t>|Z₂|</w:t>
            </w:r>
          </w:p>
        </w:tc>
      </w:tr>
      <w:tr>
        <w:tc>
          <w:tcPr>
            <w:tcW w:type="dxa" w:w="963"/>
            <w:vAlign w:val="center"/>
          </w:tcPr>
          <w:p>
            <w:r>
              <w:rPr>
                <w:sz w:val="17"/>
              </w:rPr>
              <w:t>A</w:t>
            </w:r>
          </w:p>
        </w:tc>
        <w:tc>
          <w:tcPr>
            <w:tcW w:type="dxa" w:w="963"/>
            <w:vAlign w:val="center"/>
          </w:tcPr>
          <w:p>
            <w:r>
              <w:rPr>
                <w:sz w:val="17"/>
              </w:rPr>
              <w:t>T1</w:t>
            </w:r>
          </w:p>
        </w:tc>
        <w:tc>
          <w:tcPr>
            <w:tcW w:type="dxa" w:w="963"/>
            <w:vAlign w:val="center"/>
          </w:tcPr>
          <w:p>
            <w:r>
              <w:rPr>
                <w:sz w:val="17"/>
              </w:rPr>
              <w:t>5.2497</w:t>
            </w:r>
          </w:p>
        </w:tc>
        <w:tc>
          <w:tcPr>
            <w:tcW w:type="dxa" w:w="963"/>
            <w:vAlign w:val="center"/>
          </w:tcPr>
          <w:p>
            <w:r>
              <w:rPr>
                <w:sz w:val="17"/>
              </w:rPr>
              <w:t>13.9697</w:t>
            </w:r>
          </w:p>
        </w:tc>
        <w:tc>
          <w:tcPr>
            <w:tcW w:type="dxa" w:w="963"/>
            <w:vAlign w:val="center"/>
          </w:tcPr>
          <w:p>
            <w:r>
              <w:rPr>
                <w:sz w:val="17"/>
              </w:rPr>
              <w:t>sum</w:t>
            </w:r>
          </w:p>
        </w:tc>
        <w:tc>
          <w:tcPr>
            <w:tcW w:type="dxa" w:w="963"/>
            <w:vAlign w:val="center"/>
          </w:tcPr>
          <w:p>
            <w:r>
              <w:rPr>
                <w:sz w:val="17"/>
              </w:rPr>
              <w:t>19.2487</w:t>
            </w:r>
          </w:p>
        </w:tc>
        <w:tc>
          <w:tcPr>
            <w:tcW w:type="dxa" w:w="963"/>
            <w:vAlign w:val="center"/>
          </w:tcPr>
          <w:p>
            <w:r>
              <w:rPr>
                <w:sz w:val="17"/>
              </w:rPr>
              <w:t>0.0293</w:t>
            </w:r>
          </w:p>
        </w:tc>
        <w:tc>
          <w:tcPr>
            <w:tcW w:type="dxa" w:w="963"/>
            <w:vAlign w:val="center"/>
          </w:tcPr>
          <w:p>
            <w:r>
              <w:rPr>
                <w:sz w:val="17"/>
              </w:rPr>
              <w:t>0.005109</w:t>
            </w:r>
          </w:p>
        </w:tc>
        <w:tc>
          <w:tcPr>
            <w:tcW w:type="dxa" w:w="963"/>
            <w:vAlign w:val="center"/>
          </w:tcPr>
          <w:p>
            <w:r>
              <w:rPr>
                <w:sz w:val="17"/>
              </w:rPr>
              <w:t>0.152</w:t>
            </w:r>
          </w:p>
        </w:tc>
        <w:tc>
          <w:tcPr>
            <w:tcW w:type="dxa" w:w="963"/>
            <w:vAlign w:val="center"/>
          </w:tcPr>
          <w:p>
            <w:r>
              <w:rPr>
                <w:sz w:val="17"/>
              </w:rPr>
              <w:t>0.601</w:t>
            </w:r>
          </w:p>
        </w:tc>
      </w:tr>
      <w:tr>
        <w:tc>
          <w:tcPr>
            <w:tcW w:type="dxa" w:w="963"/>
            <w:vAlign w:val="center"/>
          </w:tcPr>
          <w:p>
            <w:r>
              <w:rPr>
                <w:sz w:val="17"/>
              </w:rPr>
              <w:t>B</w:t>
            </w:r>
          </w:p>
        </w:tc>
        <w:tc>
          <w:tcPr>
            <w:tcW w:type="dxa" w:w="963"/>
            <w:vAlign w:val="center"/>
          </w:tcPr>
          <w:p>
            <w:r>
              <w:rPr>
                <w:sz w:val="17"/>
              </w:rPr>
              <w:t>T1</w:t>
            </w:r>
          </w:p>
        </w:tc>
        <w:tc>
          <w:tcPr>
            <w:tcW w:type="dxa" w:w="963"/>
            <w:vAlign w:val="center"/>
          </w:tcPr>
          <w:p>
            <w:r>
              <w:rPr>
                <w:sz w:val="17"/>
              </w:rPr>
              <w:t>5.6819</w:t>
            </w:r>
          </w:p>
        </w:tc>
        <w:tc>
          <w:tcPr>
            <w:tcW w:type="dxa" w:w="963"/>
            <w:vAlign w:val="center"/>
          </w:tcPr>
          <w:p>
            <w:r>
              <w:rPr>
                <w:sz w:val="17"/>
              </w:rPr>
              <w:t>13.5297</w:t>
            </w:r>
          </w:p>
        </w:tc>
        <w:tc>
          <w:tcPr>
            <w:tcW w:type="dxa" w:w="963"/>
            <w:vAlign w:val="center"/>
          </w:tcPr>
          <w:p>
            <w:r>
              <w:rPr>
                <w:sz w:val="17"/>
              </w:rPr>
              <w:t>sum</w:t>
            </w:r>
          </w:p>
        </w:tc>
        <w:tc>
          <w:tcPr>
            <w:tcW w:type="dxa" w:w="963"/>
            <w:vAlign w:val="center"/>
          </w:tcPr>
          <w:p>
            <w:r>
              <w:rPr>
                <w:sz w:val="17"/>
              </w:rPr>
              <w:t>19.2487</w:t>
            </w:r>
          </w:p>
        </w:tc>
        <w:tc>
          <w:tcPr>
            <w:tcW w:type="dxa" w:w="963"/>
            <w:vAlign w:val="center"/>
          </w:tcPr>
          <w:p>
            <w:r>
              <w:rPr>
                <w:sz w:val="17"/>
              </w:rPr>
              <w:t>0.0371</w:t>
            </w:r>
          </w:p>
        </w:tc>
        <w:tc>
          <w:tcPr>
            <w:tcW w:type="dxa" w:w="963"/>
            <w:vAlign w:val="center"/>
          </w:tcPr>
          <w:p>
            <w:r>
              <w:rPr>
                <w:sz w:val="17"/>
              </w:rPr>
              <w:t>0.005982</w:t>
            </w:r>
          </w:p>
        </w:tc>
        <w:tc>
          <w:tcPr>
            <w:tcW w:type="dxa" w:w="963"/>
            <w:vAlign w:val="center"/>
          </w:tcPr>
          <w:p>
            <w:r>
              <w:rPr>
                <w:sz w:val="17"/>
              </w:rPr>
              <w:t>0.501</w:t>
            </w:r>
          </w:p>
        </w:tc>
        <w:tc>
          <w:tcPr>
            <w:tcW w:type="dxa" w:w="963"/>
            <w:vAlign w:val="center"/>
          </w:tcPr>
          <w:p>
            <w:r>
              <w:rPr>
                <w:sz w:val="17"/>
              </w:rPr>
              <w:t>0.005</w:t>
            </w:r>
          </w:p>
        </w:tc>
      </w:tr>
      <w:tr>
        <w:tc>
          <w:tcPr>
            <w:tcW w:type="dxa" w:w="963"/>
            <w:vAlign w:val="center"/>
          </w:tcPr>
          <w:p>
            <w:r>
              <w:rPr>
                <w:sz w:val="17"/>
              </w:rPr>
              <w:t>C</w:t>
            </w:r>
          </w:p>
        </w:tc>
        <w:tc>
          <w:tcPr>
            <w:tcW w:type="dxa" w:w="963"/>
            <w:vAlign w:val="center"/>
          </w:tcPr>
          <w:p>
            <w:r>
              <w:rPr>
                <w:sz w:val="17"/>
              </w:rPr>
              <w:t>T1</w:t>
            </w:r>
          </w:p>
        </w:tc>
        <w:tc>
          <w:tcPr>
            <w:tcW w:type="dxa" w:w="963"/>
            <w:vAlign w:val="center"/>
          </w:tcPr>
          <w:p>
            <w:r>
              <w:rPr>
                <w:sz w:val="17"/>
              </w:rPr>
              <w:t>19.1749</w:t>
            </w:r>
          </w:p>
        </w:tc>
        <w:tc>
          <w:tcPr>
            <w:tcW w:type="dxa" w:w="963"/>
            <w:vAlign w:val="center"/>
          </w:tcPr>
          <w:p>
            <w:r>
              <w:rPr>
                <w:sz w:val="17"/>
              </w:rPr>
              <w:t>27.6307</w:t>
            </w:r>
          </w:p>
        </w:tc>
        <w:tc>
          <w:tcPr>
            <w:tcW w:type="dxa" w:w="963"/>
            <w:vAlign w:val="center"/>
          </w:tcPr>
          <w:p>
            <w:r>
              <w:rPr>
                <w:sz w:val="17"/>
              </w:rPr>
              <w:t>difference</w:t>
            </w:r>
          </w:p>
        </w:tc>
        <w:tc>
          <w:tcPr>
            <w:tcW w:type="dxa" w:w="963"/>
            <w:vAlign w:val="center"/>
          </w:tcPr>
          <w:p>
            <w:r>
              <w:rPr>
                <w:sz w:val="17"/>
              </w:rPr>
              <w:t>8.3906</w:t>
            </w:r>
          </w:p>
        </w:tc>
        <w:tc>
          <w:tcPr>
            <w:tcW w:type="dxa" w:w="963"/>
            <w:vAlign w:val="center"/>
          </w:tcPr>
          <w:p>
            <w:r>
              <w:rPr>
                <w:sz w:val="17"/>
              </w:rPr>
              <w:t>0.0652</w:t>
            </w:r>
          </w:p>
        </w:tc>
        <w:tc>
          <w:tcPr>
            <w:tcW w:type="dxa" w:w="963"/>
            <w:vAlign w:val="center"/>
          </w:tcPr>
          <w:p>
            <w:r>
              <w:rPr>
                <w:sz w:val="17"/>
              </w:rPr>
              <w:t>0.014442</w:t>
            </w:r>
          </w:p>
        </w:tc>
        <w:tc>
          <w:tcPr>
            <w:tcW w:type="dxa" w:w="963"/>
            <w:vAlign w:val="center"/>
          </w:tcPr>
          <w:p>
            <w:r>
              <w:rPr>
                <w:sz w:val="17"/>
              </w:rPr>
              <w:t>0.073</w:t>
            </w:r>
          </w:p>
        </w:tc>
        <w:tc>
          <w:tcPr>
            <w:tcW w:type="dxa" w:w="963"/>
            <w:vAlign w:val="center"/>
          </w:tcPr>
          <w:p>
            <w:r>
              <w:rPr>
                <w:sz w:val="17"/>
              </w:rPr>
              <w:t>2.016</w:t>
            </w:r>
          </w:p>
        </w:tc>
      </w:tr>
    </w:tbl>
    <w:p>
      <w:r>
        <w:t>候选 A（5.2497 + 13.9697 → 19.2487 THz）在“失谐、交叉耦合、两源模可被红外驱动”三方面最均衡，因此被列为首选实验通道。候选 B 的耦合略大，但第二源模有效电荷接近零，实验驱动不利。候选 C 是较强的差频方案，但其中一个源模红外有效电荷较弱。</w:t>
      </w:r>
    </w:p>
    <w:p>
      <w:r>
        <w:drawing>
          <wp:inline xmlns:a="http://schemas.openxmlformats.org/drawingml/2006/main" xmlns:pic="http://schemas.openxmlformats.org/drawingml/2006/picture">
            <wp:extent cx="5760720" cy="2978768"/>
            <wp:docPr id="4" name="Picture 4"/>
            <wp:cNvGraphicFramePr>
              <a:graphicFrameLocks noChangeAspect="1"/>
            </wp:cNvGraphicFramePr>
            <a:graphic>
              <a:graphicData uri="http://schemas.openxmlformats.org/drawingml/2006/picture">
                <pic:pic>
                  <pic:nvPicPr>
                    <pic:cNvPr id="0" name="candidates.png"/>
                    <pic:cNvPicPr/>
                  </pic:nvPicPr>
                  <pic:blipFill>
                    <a:blip r:embed="rId12"/>
                    <a:stretch>
                      <a:fillRect/>
                    </a:stretch>
                  </pic:blipFill>
                  <pic:spPr>
                    <a:xfrm>
                      <a:off x="0" y="0"/>
                      <a:ext cx="5760720" cy="2978768"/>
                    </a:xfrm>
                    <a:prstGeom prst="rect"/>
                  </pic:spPr>
                </pic:pic>
              </a:graphicData>
            </a:graphic>
          </wp:inline>
        </w:drawing>
      </w:r>
    </w:p>
    <w:p>
      <w:pPr>
        <w:jc w:val="center"/>
      </w:pPr>
      <w:r>
        <w:rPr>
          <w:i/>
          <w:sz w:val="18"/>
        </w:rPr>
        <w:t>图4  三个优先候选的相对耦合指标与频率失谐</w:t>
      </w:r>
    </w:p>
    <w:p>
      <w:pPr>
        <w:pStyle w:val="Heading1"/>
      </w:pPr>
      <w:r>
        <w:t>6. 冻结的实验预测</w:t>
      </w:r>
    </w:p>
    <w:p>
      <w:pPr>
        <w:pStyle w:val="Heading2"/>
      </w:pPr>
      <w:r>
        <w:t>6.1 首选通道</w:t>
      </w:r>
    </w:p>
    <w:p>
      <w:pPr>
        <w:pStyle w:val="Formula"/>
        <w:jc w:val="center"/>
      </w:pPr>
      <w:r>
        <w:rPr>
          <w:rFonts w:ascii="Liberation Serif" w:hAnsi="Liberation Serif"/>
          <w:sz w:val="23"/>
        </w:rPr>
        <w:t>T₂(5.2497 THz) + T₂(13.9697 THz) → T₁(19.2487 THz)</w:t>
      </w:r>
    </w:p>
    <w:p>
      <w:r>
        <w:t>频率失谐约0.0293 THz（约0.121 meV，约0.98 cm⁻¹）。19.25 THz 的 T₁ 模在理想 T_d 对称下为 Raman/IR 暗模，因此若能通过双频非线性驱动出现相干响应，其背景区分度较好。</w:t>
      </w:r>
    </w:p>
    <w:p>
      <w:pPr>
        <w:pStyle w:val="Heading2"/>
      </w:pPr>
      <w:r>
        <w:t>6.2 零信号与翻号规则</w:t>
      </w:r>
    </w:p>
    <w:p>
      <w:r>
        <w:t>在合适的 T₂ 三维基底中，T₁ 双线性耦合可写成与叉积等价的反对称结构。由此冻结以下实验判据：</w:t>
      </w:r>
    </w:p>
    <w:tbl>
      <w:tblPr>
        <w:tblStyle w:val="TableGrid"/>
        <w:tblW w:type="auto" w:w="0"/>
        <w:jc w:val="center"/>
        <w:tblLook w:firstColumn="1" w:firstRow="1" w:lastColumn="0" w:lastRow="0" w:noHBand="0" w:noVBand="1" w:val="04A0"/>
      </w:tblPr>
      <w:tblGrid>
        <w:gridCol w:w="4816"/>
        <w:gridCol w:w="4816"/>
      </w:tblGrid>
      <w:tr>
        <w:tc>
          <w:tcPr>
            <w:tcW w:type="dxa" w:w="4816"/>
            <w:shd w:fill="E7E7E7"/>
            <w:vAlign w:val="center"/>
          </w:tcPr>
          <w:p>
            <w:r>
              <w:rPr>
                <w:b/>
                <w:sz w:val="18"/>
              </w:rPr>
              <w:t>控制操作</w:t>
            </w:r>
          </w:p>
        </w:tc>
        <w:tc>
          <w:tcPr>
            <w:tcW w:type="dxa" w:w="4816"/>
            <w:shd w:fill="E7E7E7"/>
            <w:vAlign w:val="center"/>
          </w:tcPr>
          <w:p>
            <w:r>
              <w:rPr>
                <w:b/>
                <w:sz w:val="18"/>
              </w:rPr>
              <w:t>预测</w:t>
            </w:r>
          </w:p>
        </w:tc>
      </w:tr>
      <w:tr>
        <w:tc>
          <w:tcPr>
            <w:tcW w:type="dxa" w:w="4816"/>
            <w:vAlign w:val="center"/>
          </w:tcPr>
          <w:p>
            <w:r>
              <w:rPr>
                <w:sz w:val="17"/>
              </w:rPr>
              <w:t>两源模式坐标共线</w:t>
            </w:r>
          </w:p>
        </w:tc>
        <w:tc>
          <w:tcPr>
            <w:tcW w:type="dxa" w:w="4816"/>
            <w:vAlign w:val="center"/>
          </w:tcPr>
          <w:p>
            <w:r>
              <w:rPr>
                <w:sz w:val="17"/>
              </w:rPr>
              <w:t>T₁ 二次源项应为零或显著压低</w:t>
            </w:r>
          </w:p>
        </w:tc>
      </w:tr>
      <w:tr>
        <w:tc>
          <w:tcPr>
            <w:tcW w:type="dxa" w:w="4816"/>
            <w:vAlign w:val="center"/>
          </w:tcPr>
          <w:p>
            <w:r>
              <w:rPr>
                <w:sz w:val="17"/>
              </w:rPr>
              <w:t>两源模式坐标近正交</w:t>
            </w:r>
          </w:p>
        </w:tc>
        <w:tc>
          <w:tcPr>
            <w:tcW w:type="dxa" w:w="4816"/>
            <w:vAlign w:val="center"/>
          </w:tcPr>
          <w:p>
            <w:r>
              <w:rPr>
                <w:sz w:val="17"/>
              </w:rPr>
              <w:t>T₁ 源项达到较大值</w:t>
            </w:r>
          </w:p>
        </w:tc>
      </w:tr>
      <w:tr>
        <w:tc>
          <w:tcPr>
            <w:tcW w:type="dxa" w:w="4816"/>
            <w:vAlign w:val="center"/>
          </w:tcPr>
          <w:p>
            <w:r>
              <w:rPr>
                <w:sz w:val="17"/>
              </w:rPr>
              <w:t>反转相对手性/相位定向</w:t>
            </w:r>
          </w:p>
        </w:tc>
        <w:tc>
          <w:tcPr>
            <w:tcW w:type="dxa" w:w="4816"/>
            <w:vAlign w:val="center"/>
          </w:tcPr>
          <w:p>
            <w:r>
              <w:rPr>
                <w:sz w:val="17"/>
              </w:rPr>
              <w:t>诱导 T₁ 位移符号应反转</w:t>
            </w:r>
          </w:p>
        </w:tc>
      </w:tr>
      <w:tr>
        <w:tc>
          <w:tcPr>
            <w:tcW w:type="dxa" w:w="4816"/>
            <w:vAlign w:val="center"/>
          </w:tcPr>
          <w:p>
            <w:r>
              <w:rPr>
                <w:sz w:val="17"/>
              </w:rPr>
              <w:t>仅驱动同一 T₂ 分支</w:t>
            </w:r>
          </w:p>
        </w:tc>
        <w:tc>
          <w:tcPr>
            <w:tcW w:type="dxa" w:w="4816"/>
            <w:vAlign w:val="center"/>
          </w:tcPr>
          <w:p>
            <w:r>
              <w:rPr>
                <w:sz w:val="17"/>
              </w:rPr>
              <w:t>理想对称极限下 T₁ 二次源项应消失</w:t>
            </w:r>
          </w:p>
        </w:tc>
      </w:tr>
    </w:tbl>
    <w:p>
      <w:r>
        <w:t>重要实验限定：实验室电场偏振并不等于模式坐标方向。实际“平行/正交”必须通过 Born 有效电荷张量和声子本征矢映射到各 T₂ 分支的模式坐标后定义。因此后续实验设计必须先完成偏振→模式坐标的标定。</w:t>
      </w:r>
    </w:p>
    <w:p>
      <w:pPr>
        <w:pStyle w:val="Heading2"/>
      </w:pPr>
      <w:r>
        <w:t>6.3 还不能给出的量</w:t>
      </w:r>
    </w:p>
    <w:p>
      <w:r>
        <w:t>目前不能可靠给出“需要多少 MV/cm、目标位移多少 Å、信号强度多少”的绝对实验数字。要做到这一点还需要：目标与源模 linewidth/寿命、脉冲包络、常规非线性声子坐标单位标定、耦合系数绝对单位换算以及可能的高阶非谐修正。</w:t>
      </w:r>
    </w:p>
    <w:p>
      <w:pPr>
        <w:pStyle w:val="Heading1"/>
      </w:pPr>
      <w:r>
        <w:t>7. 反向审计：本阶段发现并修正的问题</w:t>
      </w:r>
    </w:p>
    <w:tbl>
      <w:tblPr>
        <w:tblStyle w:val="TableGrid"/>
        <w:tblW w:type="auto" w:w="0"/>
        <w:jc w:val="center"/>
        <w:tblLook w:firstColumn="1" w:firstRow="1" w:lastColumn="0" w:lastRow="0" w:noHBand="0" w:noVBand="1" w:val="04A0"/>
      </w:tblPr>
      <w:tblGrid>
        <w:gridCol w:w="3211"/>
        <w:gridCol w:w="3211"/>
        <w:gridCol w:w="3211"/>
      </w:tblGrid>
      <w:tr>
        <w:tc>
          <w:tcPr>
            <w:tcW w:type="dxa" w:w="3211"/>
            <w:shd w:fill="E7E7E7"/>
            <w:vAlign w:val="center"/>
          </w:tcPr>
          <w:p>
            <w:r>
              <w:rPr>
                <w:b/>
                <w:sz w:val="18"/>
              </w:rPr>
              <w:t>审计项</w:t>
            </w:r>
          </w:p>
        </w:tc>
        <w:tc>
          <w:tcPr>
            <w:tcW w:type="dxa" w:w="3211"/>
            <w:shd w:fill="E7E7E7"/>
            <w:vAlign w:val="center"/>
          </w:tcPr>
          <w:p>
            <w:r>
              <w:rPr>
                <w:b/>
                <w:sz w:val="18"/>
              </w:rPr>
              <w:t>发现</w:t>
            </w:r>
          </w:p>
        </w:tc>
        <w:tc>
          <w:tcPr>
            <w:tcW w:type="dxa" w:w="3211"/>
            <w:shd w:fill="E7E7E7"/>
            <w:vAlign w:val="center"/>
          </w:tcPr>
          <w:p>
            <w:r>
              <w:rPr>
                <w:b/>
                <w:sz w:val="18"/>
              </w:rPr>
              <w:t>结论</w:t>
            </w:r>
          </w:p>
        </w:tc>
      </w:tr>
      <w:tr>
        <w:tc>
          <w:tcPr>
            <w:tcW w:type="dxa" w:w="3211"/>
            <w:vAlign w:val="center"/>
          </w:tcPr>
          <w:p>
            <w:r>
              <w:rPr>
                <w:sz w:val="17"/>
              </w:rPr>
              <w:t>模式表读取</w:t>
            </w:r>
          </w:p>
        </w:tc>
        <w:tc>
          <w:tcPr>
            <w:tcW w:type="dxa" w:w="3211"/>
            <w:vAlign w:val="center"/>
          </w:tcPr>
          <w:p>
            <w:r>
              <w:rPr>
                <w:sz w:val="17"/>
              </w:rPr>
              <w:t>此前曾把13.06 THz误读为E模、把6.48 THz当作另一列</w:t>
            </w:r>
          </w:p>
        </w:tc>
        <w:tc>
          <w:tcPr>
            <w:tcW w:type="dxa" w:w="3211"/>
            <w:vAlign w:val="center"/>
          </w:tcPr>
          <w:p>
            <w:r>
              <w:rPr>
                <w:sz w:val="17"/>
              </w:rPr>
              <w:t>旧的“6.48→13.06 E”预测作废</w:t>
            </w:r>
          </w:p>
        </w:tc>
      </w:tr>
      <w:tr>
        <w:tc>
          <w:tcPr>
            <w:tcW w:type="dxa" w:w="3211"/>
            <w:vAlign w:val="center"/>
          </w:tcPr>
          <w:p>
            <w:r>
              <w:rPr>
                <w:sz w:val="17"/>
              </w:rPr>
              <w:t>高频三重模自动分类</w:t>
            </w:r>
          </w:p>
        </w:tc>
        <w:tc>
          <w:tcPr>
            <w:tcW w:type="dxa" w:w="3211"/>
            <w:vAlign w:val="center"/>
          </w:tcPr>
          <w:p>
            <w:r>
              <w:rPr>
                <w:sz w:val="17"/>
              </w:rPr>
              <w:t>仅凭简并度/数值特征会把个别高频三重模误标为T₁</w:t>
            </w:r>
          </w:p>
        </w:tc>
        <w:tc>
          <w:tcPr>
            <w:tcW w:type="dxa" w:w="3211"/>
            <w:vAlign w:val="center"/>
          </w:tcPr>
          <w:p>
            <w:r>
              <w:rPr>
                <w:sz w:val="17"/>
              </w:rPr>
              <w:t>所有关键结论改用文献确认的T₁/T₂模</w:t>
            </w:r>
          </w:p>
        </w:tc>
      </w:tr>
      <w:tr>
        <w:tc>
          <w:tcPr>
            <w:tcW w:type="dxa" w:w="3211"/>
            <w:vAlign w:val="center"/>
          </w:tcPr>
          <w:p>
            <w:r>
              <w:rPr>
                <w:sz w:val="17"/>
              </w:rPr>
              <w:t>频率巧合</w:t>
            </w:r>
          </w:p>
        </w:tc>
        <w:tc>
          <w:tcPr>
            <w:tcW w:type="dxa" w:w="3211"/>
            <w:vAlign w:val="center"/>
          </w:tcPr>
          <w:p>
            <w:r>
              <w:rPr>
                <w:sz w:val="17"/>
              </w:rPr>
              <w:t>多模系统可自然产生很小失谐</w:t>
            </w:r>
          </w:p>
        </w:tc>
        <w:tc>
          <w:tcPr>
            <w:tcW w:type="dxa" w:w="3211"/>
            <w:vAlign w:val="center"/>
          </w:tcPr>
          <w:p>
            <w:r>
              <w:rPr>
                <w:sz w:val="17"/>
              </w:rPr>
              <w:t>失谐不再作为单独证据，必须结合fc3</w:t>
            </w:r>
          </w:p>
        </w:tc>
      </w:tr>
      <w:tr>
        <w:tc>
          <w:tcPr>
            <w:tcW w:type="dxa" w:w="3211"/>
            <w:vAlign w:val="center"/>
          </w:tcPr>
          <w:p>
            <w:r>
              <w:rPr>
                <w:sz w:val="17"/>
              </w:rPr>
              <w:t>T₁T₂T₂新颖性</w:t>
            </w:r>
          </w:p>
        </w:tc>
        <w:tc>
          <w:tcPr>
            <w:tcW w:type="dxa" w:w="3211"/>
            <w:vAlign w:val="center"/>
          </w:tcPr>
          <w:p>
            <w:r>
              <w:rPr>
                <w:sz w:val="17"/>
              </w:rPr>
              <w:t>2024 ACS Nano已明确给出该允许耦合并列Zn₄B₆O₁₃为候选</w:t>
            </w:r>
          </w:p>
        </w:tc>
        <w:tc>
          <w:tcPr>
            <w:tcW w:type="dxa" w:w="3211"/>
            <w:vAlign w:val="center"/>
          </w:tcPr>
          <w:p>
            <w:r>
              <w:rPr>
                <w:sz w:val="17"/>
              </w:rPr>
              <w:t>本报告只主张材料级重建/筛选与关系框架独立命中</w:t>
            </w:r>
          </w:p>
        </w:tc>
      </w:tr>
      <w:tr>
        <w:tc>
          <w:tcPr>
            <w:tcW w:type="dxa" w:w="3211"/>
            <w:vAlign w:val="center"/>
          </w:tcPr>
          <w:p>
            <w:r>
              <w:rPr>
                <w:sz w:val="17"/>
              </w:rPr>
              <w:t>耦合单位</w:t>
            </w:r>
          </w:p>
        </w:tc>
        <w:tc>
          <w:tcPr>
            <w:tcW w:type="dxa" w:w="3211"/>
            <w:vAlign w:val="center"/>
          </w:tcPr>
          <w:p>
            <w:r>
              <w:rPr>
                <w:sz w:val="17"/>
              </w:rPr>
              <w:t>当前g是内部质量归一化规范</w:t>
            </w:r>
          </w:p>
        </w:tc>
        <w:tc>
          <w:tcPr>
            <w:tcW w:type="dxa" w:w="3211"/>
            <w:vAlign w:val="center"/>
          </w:tcPr>
          <w:p>
            <w:r>
              <w:rPr>
                <w:sz w:val="17"/>
              </w:rPr>
              <w:t>只用于相对排序，暂不直接转成实验位移</w:t>
            </w:r>
          </w:p>
        </w:tc>
      </w:tr>
      <w:tr>
        <w:tc>
          <w:tcPr>
            <w:tcW w:type="dxa" w:w="3211"/>
            <w:vAlign w:val="center"/>
          </w:tcPr>
          <w:p>
            <w:r>
              <w:rPr>
                <w:sz w:val="17"/>
              </w:rPr>
              <w:t>“交换两个源模就翻号”</w:t>
            </w:r>
          </w:p>
        </w:tc>
        <w:tc>
          <w:tcPr>
            <w:tcW w:type="dxa" w:w="3211"/>
            <w:vAlign w:val="center"/>
          </w:tcPr>
          <w:p>
            <w:r>
              <w:rPr>
                <w:sz w:val="17"/>
              </w:rPr>
              <w:t>简单交换标签不是实验操作；符号依赖固定基底/相位约定</w:t>
            </w:r>
          </w:p>
        </w:tc>
        <w:tc>
          <w:tcPr>
            <w:tcW w:type="dxa" w:w="3211"/>
            <w:vAlign w:val="center"/>
          </w:tcPr>
          <w:p>
            <w:r>
              <w:rPr>
                <w:sz w:val="17"/>
              </w:rPr>
              <w:t>改写为反转相对手性或模式坐标定向时翻号</w:t>
            </w:r>
          </w:p>
        </w:tc>
      </w:tr>
      <w:tr>
        <w:tc>
          <w:tcPr>
            <w:tcW w:type="dxa" w:w="3211"/>
            <w:vAlign w:val="center"/>
          </w:tcPr>
          <w:p>
            <w:r>
              <w:rPr>
                <w:sz w:val="17"/>
              </w:rPr>
              <w:t>三大物理统一</w:t>
            </w:r>
          </w:p>
        </w:tc>
        <w:tc>
          <w:tcPr>
            <w:tcW w:type="dxa" w:w="3211"/>
            <w:vAlign w:val="center"/>
          </w:tcPr>
          <w:p>
            <w:r>
              <w:rPr>
                <w:sz w:val="17"/>
              </w:rPr>
              <w:t>共享表示/连接语言≠同一物理场</w:t>
            </w:r>
          </w:p>
        </w:tc>
        <w:tc>
          <w:tcPr>
            <w:tcW w:type="dxa" w:w="3211"/>
            <w:vAlign w:val="center"/>
          </w:tcPr>
          <w:p>
            <w:r>
              <w:rPr>
                <w:sz w:val="17"/>
              </w:rPr>
              <w:t>本报告不宣称统一完成</w:t>
            </w:r>
          </w:p>
        </w:tc>
      </w:tr>
    </w:tbl>
    <w:p>
      <w:pPr>
        <w:pStyle w:val="Heading2"/>
      </w:pPr>
      <w:r>
        <w:t>7.1 为什么这些修正不会推翻主体</w:t>
      </w:r>
    </w:p>
    <w:p>
      <w:r>
        <w:t>主体结果不是“某个数字恰好吻合”，而是三层可分离事实：（1）四关系→六接口的组合学结构；（2）T_d 下六维/五维关系空间的表示分解；（3）真实 Zn₄B₆O₁₃ 原始力数据对标准选择规则和具体候选通道的材料级实现。审计删除的是过度解释与错误模式标签，并未删除上述三层事实。</w:t>
      </w:r>
    </w:p>
    <w:p>
      <w:pPr>
        <w:pStyle w:val="Heading1"/>
      </w:pPr>
      <w:r>
        <w:t>8. 当前研究到底完成到什么程度</w:t>
      </w:r>
    </w:p>
    <w:p>
      <w:r>
        <w:t>本阶段已经完成“从内部形式化走到真实材料可证伪预测”的跨越，但尚未完成“新的基础物理理论”。</w:t>
      </w:r>
    </w:p>
    <w:tbl>
      <w:tblPr>
        <w:tblStyle w:val="TableGrid"/>
        <w:tblW w:type="auto" w:w="0"/>
        <w:jc w:val="center"/>
        <w:tblLook w:firstColumn="1" w:firstRow="1" w:lastColumn="0" w:lastRow="0" w:noHBand="0" w:noVBand="1" w:val="04A0"/>
      </w:tblPr>
      <w:tblGrid>
        <w:gridCol w:w="4816"/>
        <w:gridCol w:w="4816"/>
      </w:tblGrid>
      <w:tr>
        <w:tc>
          <w:tcPr>
            <w:tcW w:type="dxa" w:w="4816"/>
            <w:shd w:fill="E7E7E7"/>
            <w:vAlign w:val="center"/>
          </w:tcPr>
          <w:p>
            <w:r>
              <w:rPr>
                <w:b/>
                <w:sz w:val="18"/>
              </w:rPr>
              <w:t>问题</w:t>
            </w:r>
          </w:p>
        </w:tc>
        <w:tc>
          <w:tcPr>
            <w:tcW w:type="dxa" w:w="4816"/>
            <w:shd w:fill="E7E7E7"/>
            <w:vAlign w:val="center"/>
          </w:tcPr>
          <w:p>
            <w:r>
              <w:rPr>
                <w:b/>
                <w:sz w:val="18"/>
              </w:rPr>
              <w:t>答案</w:t>
            </w:r>
          </w:p>
        </w:tc>
      </w:tr>
      <w:tr>
        <w:tc>
          <w:tcPr>
            <w:tcW w:type="dxa" w:w="4816"/>
            <w:vAlign w:val="center"/>
          </w:tcPr>
          <w:p>
            <w:r>
              <w:rPr>
                <w:sz w:val="17"/>
              </w:rPr>
              <w:t>母结构是否已数学化？</w:t>
            </w:r>
          </w:p>
        </w:tc>
        <w:tc>
          <w:tcPr>
            <w:tcW w:type="dxa" w:w="4816"/>
            <w:vAlign w:val="center"/>
          </w:tcPr>
          <w:p>
            <w:r>
              <w:rPr>
                <w:sz w:val="17"/>
              </w:rPr>
              <w:t>是，核心4→6及其对称实现已高度稳定。</w:t>
            </w:r>
          </w:p>
        </w:tc>
      </w:tr>
      <w:tr>
        <w:tc>
          <w:tcPr>
            <w:tcW w:type="dxa" w:w="4816"/>
            <w:vAlign w:val="center"/>
          </w:tcPr>
          <w:p>
            <w:r>
              <w:rPr>
                <w:sz w:val="17"/>
              </w:rPr>
              <w:t>是否进入现代物理？</w:t>
            </w:r>
          </w:p>
        </w:tc>
        <w:tc>
          <w:tcPr>
            <w:tcW w:type="dxa" w:w="4816"/>
            <w:vAlign w:val="center"/>
          </w:tcPr>
          <w:p>
            <w:r>
              <w:rPr>
                <w:sz w:val="17"/>
              </w:rPr>
              <w:t>是，已进入标准T_d表示论、非线性声子与第一性原理fc3层面。</w:t>
            </w:r>
          </w:p>
        </w:tc>
      </w:tr>
      <w:tr>
        <w:tc>
          <w:tcPr>
            <w:tcW w:type="dxa" w:w="4816"/>
            <w:vAlign w:val="center"/>
          </w:tcPr>
          <w:p>
            <w:r>
              <w:rPr>
                <w:sz w:val="17"/>
              </w:rPr>
              <w:t>是否有真实材料支持？</w:t>
            </w:r>
          </w:p>
        </w:tc>
        <w:tc>
          <w:tcPr>
            <w:tcW w:type="dxa" w:w="4816"/>
            <w:vAlign w:val="center"/>
          </w:tcPr>
          <w:p>
            <w:r>
              <w:rPr>
                <w:sz w:val="17"/>
              </w:rPr>
              <w:t>是，Zn₄B₆O₁₃原始数据复现了冻结的选择结构，并给出具体候选模对。</w:t>
            </w:r>
          </w:p>
        </w:tc>
      </w:tr>
      <w:tr>
        <w:tc>
          <w:tcPr>
            <w:tcW w:type="dxa" w:w="4816"/>
            <w:vAlign w:val="center"/>
          </w:tcPr>
          <w:p>
            <w:r>
              <w:rPr>
                <w:sz w:val="17"/>
              </w:rPr>
              <w:t>是否已有新实验预测？</w:t>
            </w:r>
          </w:p>
        </w:tc>
        <w:tc>
          <w:tcPr>
            <w:tcW w:type="dxa" w:w="4816"/>
            <w:vAlign w:val="center"/>
          </w:tcPr>
          <w:p>
            <w:r>
              <w:rPr>
                <w:sz w:val="17"/>
              </w:rPr>
              <w:t>有：具体频率、暗模、零信号条件与相位/手性控制规则。</w:t>
            </w:r>
          </w:p>
        </w:tc>
      </w:tr>
      <w:tr>
        <w:tc>
          <w:tcPr>
            <w:tcW w:type="dxa" w:w="4816"/>
            <w:vAlign w:val="center"/>
          </w:tcPr>
          <w:p>
            <w:r>
              <w:rPr>
                <w:sz w:val="17"/>
              </w:rPr>
              <w:t>是否证明精神现实主义统一三大物理？</w:t>
            </w:r>
          </w:p>
        </w:tc>
        <w:tc>
          <w:tcPr>
            <w:tcW w:type="dxa" w:w="4816"/>
            <w:vAlign w:val="center"/>
          </w:tcPr>
          <w:p>
            <w:r>
              <w:rPr>
                <w:sz w:val="17"/>
              </w:rPr>
              <w:t>没有。当前只证明其部分关系结构可映入已知现代物理并产生可检验材料预测。</w:t>
            </w:r>
          </w:p>
        </w:tc>
      </w:tr>
      <w:tr>
        <w:tc>
          <w:tcPr>
            <w:tcW w:type="dxa" w:w="4816"/>
            <w:vAlign w:val="center"/>
          </w:tcPr>
          <w:p>
            <w:r>
              <w:rPr>
                <w:sz w:val="17"/>
              </w:rPr>
              <w:t>是否足以写论文/报告？</w:t>
            </w:r>
          </w:p>
        </w:tc>
        <w:tc>
          <w:tcPr>
            <w:tcW w:type="dxa" w:w="4816"/>
            <w:vAlign w:val="center"/>
          </w:tcPr>
          <w:p>
            <w:r>
              <w:rPr>
                <w:sz w:val="17"/>
              </w:rPr>
              <w:t>足以写阶段性理论—计算报告；正式期刊论文还应增加样本外材料或实验/更完整数值动力学。</w:t>
            </w:r>
          </w:p>
        </w:tc>
      </w:tr>
    </w:tbl>
    <w:p>
      <w:pPr>
        <w:pStyle w:val="Heading1"/>
      </w:pPr>
      <w:r>
        <w:t>9. 下一阶段：从“单材料命中”升级为“样本外预测”</w:t>
      </w:r>
    </w:p>
    <w:p>
      <w:r>
        <w:t>下一阶段不应继续扩展文化数字对应，而应把物理规则完全冻结，转向三项任务：</w:t>
      </w:r>
    </w:p>
    <w:tbl>
      <w:tblPr>
        <w:tblStyle w:val="TableGrid"/>
        <w:tblW w:type="auto" w:w="0"/>
        <w:jc w:val="center"/>
        <w:tblLook w:firstColumn="1" w:firstRow="1" w:lastColumn="0" w:lastRow="0" w:noHBand="0" w:noVBand="1" w:val="04A0"/>
      </w:tblPr>
      <w:tblGrid>
        <w:gridCol w:w="3211"/>
        <w:gridCol w:w="3211"/>
        <w:gridCol w:w="3211"/>
      </w:tblGrid>
      <w:tr>
        <w:tc>
          <w:tcPr>
            <w:tcW w:type="dxa" w:w="3211"/>
            <w:shd w:fill="E7E7E7"/>
            <w:vAlign w:val="center"/>
          </w:tcPr>
          <w:p>
            <w:r>
              <w:rPr>
                <w:b/>
                <w:sz w:val="18"/>
              </w:rPr>
              <w:t>优先级</w:t>
            </w:r>
          </w:p>
        </w:tc>
        <w:tc>
          <w:tcPr>
            <w:tcW w:type="dxa" w:w="3211"/>
            <w:shd w:fill="E7E7E7"/>
            <w:vAlign w:val="center"/>
          </w:tcPr>
          <w:p>
            <w:r>
              <w:rPr>
                <w:b/>
                <w:sz w:val="18"/>
              </w:rPr>
              <w:t>任务</w:t>
            </w:r>
          </w:p>
        </w:tc>
        <w:tc>
          <w:tcPr>
            <w:tcW w:type="dxa" w:w="3211"/>
            <w:shd w:fill="E7E7E7"/>
            <w:vAlign w:val="center"/>
          </w:tcPr>
          <w:p>
            <w:r>
              <w:rPr>
                <w:b/>
                <w:sz w:val="18"/>
              </w:rPr>
              <w:t>判定标准</w:t>
            </w:r>
          </w:p>
        </w:tc>
      </w:tr>
      <w:tr>
        <w:tc>
          <w:tcPr>
            <w:tcW w:type="dxa" w:w="3211"/>
            <w:vAlign w:val="center"/>
          </w:tcPr>
          <w:p>
            <w:r>
              <w:rPr>
                <w:sz w:val="17"/>
              </w:rPr>
              <w:t>A</w:t>
            </w:r>
          </w:p>
        </w:tc>
        <w:tc>
          <w:tcPr>
            <w:tcW w:type="dxa" w:w="3211"/>
            <w:vAlign w:val="center"/>
          </w:tcPr>
          <w:p>
            <w:r>
              <w:rPr>
                <w:sz w:val="17"/>
              </w:rPr>
              <w:t>第二个 T_d 材料样本外计算</w:t>
            </w:r>
          </w:p>
        </w:tc>
        <w:tc>
          <w:tcPr>
            <w:tcW w:type="dxa" w:w="3211"/>
            <w:vAlign w:val="center"/>
          </w:tcPr>
          <w:p>
            <w:r>
              <w:rPr>
                <w:sz w:val="17"/>
              </w:rPr>
              <w:t>不修改规则，仍得到同样的零点/反对称/2+3结构</w:t>
            </w:r>
          </w:p>
        </w:tc>
      </w:tr>
      <w:tr>
        <w:tc>
          <w:tcPr>
            <w:tcW w:type="dxa" w:w="3211"/>
            <w:vAlign w:val="center"/>
          </w:tcPr>
          <w:p>
            <w:r>
              <w:rPr>
                <w:sz w:val="17"/>
              </w:rPr>
              <w:t>A</w:t>
            </w:r>
          </w:p>
        </w:tc>
        <w:tc>
          <w:tcPr>
            <w:tcW w:type="dxa" w:w="3211"/>
            <w:vAlign w:val="center"/>
          </w:tcPr>
          <w:p>
            <w:r>
              <w:rPr>
                <w:sz w:val="17"/>
              </w:rPr>
              <w:t>完整双频受驱动力学</w:t>
            </w:r>
          </w:p>
        </w:tc>
        <w:tc>
          <w:tcPr>
            <w:tcW w:type="dxa" w:w="3211"/>
            <w:vAlign w:val="center"/>
          </w:tcPr>
          <w:p>
            <w:r>
              <w:rPr>
                <w:sz w:val="17"/>
              </w:rPr>
              <w:t>加入linewidth、脉冲宽度与绝对单位，给出可执行场强和位移</w:t>
            </w:r>
          </w:p>
        </w:tc>
      </w:tr>
      <w:tr>
        <w:tc>
          <w:tcPr>
            <w:tcW w:type="dxa" w:w="3211"/>
            <w:vAlign w:val="center"/>
          </w:tcPr>
          <w:p>
            <w:r>
              <w:rPr>
                <w:sz w:val="17"/>
              </w:rPr>
              <w:t>A</w:t>
            </w:r>
          </w:p>
        </w:tc>
        <w:tc>
          <w:tcPr>
            <w:tcW w:type="dxa" w:w="3211"/>
            <w:vAlign w:val="center"/>
          </w:tcPr>
          <w:p>
            <w:r>
              <w:rPr>
                <w:sz w:val="17"/>
              </w:rPr>
              <w:t>寻找现有实验原始数据回测</w:t>
            </w:r>
          </w:p>
        </w:tc>
        <w:tc>
          <w:tcPr>
            <w:tcW w:type="dxa" w:w="3211"/>
            <w:vAlign w:val="center"/>
          </w:tcPr>
          <w:p>
            <w:r>
              <w:rPr>
                <w:sz w:val="17"/>
              </w:rPr>
              <w:t>在未知结论前先冻结分析脚本</w:t>
            </w:r>
          </w:p>
        </w:tc>
      </w:tr>
      <w:tr>
        <w:tc>
          <w:tcPr>
            <w:tcW w:type="dxa" w:w="3211"/>
            <w:vAlign w:val="center"/>
          </w:tcPr>
          <w:p>
            <w:r>
              <w:rPr>
                <w:sz w:val="17"/>
              </w:rPr>
              <w:t>B</w:t>
            </w:r>
          </w:p>
        </w:tc>
        <w:tc>
          <w:tcPr>
            <w:tcW w:type="dxa" w:w="3211"/>
            <w:vAlign w:val="center"/>
          </w:tcPr>
          <w:p>
            <w:r>
              <w:rPr>
                <w:sz w:val="17"/>
              </w:rPr>
              <w:t>实验合作</w:t>
            </w:r>
          </w:p>
        </w:tc>
        <w:tc>
          <w:tcPr>
            <w:tcW w:type="dxa" w:w="3211"/>
            <w:vAlign w:val="center"/>
          </w:tcPr>
          <w:p>
            <w:r>
              <w:rPr>
                <w:sz w:val="17"/>
              </w:rPr>
              <w:t>检测19.25 THz暗T₁响应及其零信号/翻号对照</w:t>
            </w:r>
          </w:p>
        </w:tc>
      </w:tr>
      <w:tr>
        <w:tc>
          <w:tcPr>
            <w:tcW w:type="dxa" w:w="3211"/>
            <w:vAlign w:val="center"/>
          </w:tcPr>
          <w:p>
            <w:r>
              <w:rPr>
                <w:sz w:val="17"/>
              </w:rPr>
              <w:t>B</w:t>
            </w:r>
          </w:p>
        </w:tc>
        <w:tc>
          <w:tcPr>
            <w:tcW w:type="dxa" w:w="3211"/>
            <w:vAlign w:val="center"/>
          </w:tcPr>
          <w:p>
            <w:r>
              <w:rPr>
                <w:sz w:val="17"/>
              </w:rPr>
              <w:t>量子/热/引力母连接研究</w:t>
            </w:r>
          </w:p>
        </w:tc>
        <w:tc>
          <w:tcPr>
            <w:tcW w:type="dxa" w:w="3211"/>
            <w:vAlign w:val="center"/>
          </w:tcPr>
          <w:p>
            <w:r>
              <w:rPr>
                <w:sz w:val="17"/>
              </w:rPr>
              <w:t>只在物理侧结果稳定后继续，不与本报告的材料验证混写</w:t>
            </w:r>
          </w:p>
        </w:tc>
      </w:tr>
    </w:tbl>
    <w:p>
      <w:pPr>
        <w:pStyle w:val="Heading1"/>
      </w:pPr>
      <w:r>
        <w:t>10. 阶段结论</w:t>
      </w:r>
    </w:p>
    <w:p>
      <w:r>
        <w:t>本阶段最重要的成果不是“证明了宇宙最终理论”，而是研究方法发生了质变：从文化—数学解释转向可被现实材料否定的定量预测。</w:t>
      </w:r>
    </w:p>
    <w:p>
      <w:r>
        <w:t>以 Zn₄B₆O₁₃ 为例，公开第一性原理数据允许独立重建声子谱与三阶模式耦合；文献确认的 T_d 选择规则在原始力数据中得到清晰数值实现。最优先候选 5.2497 + 13.9697 → 19.2487 THz 同时具备较小失谐、非零交叉耦合、可驱动源模与暗目标模四项条件。</w:t>
      </w:r>
    </w:p>
    <w:p>
      <w:r>
        <w:t>因此，本报告建议把此处作为新的“研究冻结点”：今后所有实验与第二材料检验均以本报告的预测和边界为准，不在看到结果后修改核心规则。实验若失败，应首先检验驱动是否真正映射到所需 T₂ 模坐标、模式寿命和非线性强度；若在满足这些条件后仍系统失败，则相应动力解释应被降级或淘汰。</w:t>
      </w:r>
    </w:p>
    <w:p>
      <w:pPr>
        <w:pStyle w:val="Heading1"/>
      </w:pPr>
      <w:r>
        <w:t>附录A：关键数据与复算指标</w:t>
      </w:r>
    </w:p>
    <w:tbl>
      <w:tblPr>
        <w:tblStyle w:val="TableGrid"/>
        <w:tblW w:type="auto" w:w="0"/>
        <w:jc w:val="center"/>
        <w:tblLook w:firstColumn="1" w:firstRow="1" w:lastColumn="0" w:lastRow="0" w:noHBand="0" w:noVBand="1" w:val="04A0"/>
      </w:tblPr>
      <w:tblGrid>
        <w:gridCol w:w="4816"/>
        <w:gridCol w:w="4816"/>
      </w:tblGrid>
      <w:tr>
        <w:tc>
          <w:tcPr>
            <w:tcW w:type="dxa" w:w="4816"/>
            <w:shd w:fill="E7E7E7"/>
            <w:vAlign w:val="center"/>
          </w:tcPr>
          <w:p>
            <w:r>
              <w:rPr>
                <w:b/>
                <w:sz w:val="18"/>
              </w:rPr>
              <w:t>指标</w:t>
            </w:r>
          </w:p>
        </w:tc>
        <w:tc>
          <w:tcPr>
            <w:tcW w:type="dxa" w:w="4816"/>
            <w:shd w:fill="E7E7E7"/>
            <w:vAlign w:val="center"/>
          </w:tcPr>
          <w:p>
            <w:r>
              <w:rPr>
                <w:b/>
                <w:sz w:val="18"/>
              </w:rPr>
              <w:t>数值/说明</w:t>
            </w:r>
          </w:p>
        </w:tc>
      </w:tr>
      <w:tr>
        <w:tc>
          <w:tcPr>
            <w:tcW w:type="dxa" w:w="4816"/>
            <w:vAlign w:val="center"/>
          </w:tcPr>
          <w:p>
            <w:r>
              <w:rPr>
                <w:sz w:val="17"/>
              </w:rPr>
              <w:t>空间群</w:t>
            </w:r>
          </w:p>
        </w:tc>
        <w:tc>
          <w:tcPr>
            <w:tcW w:type="dxa" w:w="4816"/>
            <w:vAlign w:val="center"/>
          </w:tcPr>
          <w:p>
            <w:r>
              <w:rPr>
                <w:sz w:val="17"/>
              </w:rPr>
              <w:t>I-43m (217)</w:t>
            </w:r>
          </w:p>
        </w:tc>
      </w:tr>
      <w:tr>
        <w:tc>
          <w:tcPr>
            <w:tcW w:type="dxa" w:w="4816"/>
            <w:vAlign w:val="center"/>
          </w:tcPr>
          <w:p>
            <w:r>
              <w:rPr>
                <w:sz w:val="17"/>
              </w:rPr>
              <w:t>Γ点模式数</w:t>
            </w:r>
          </w:p>
        </w:tc>
        <w:tc>
          <w:tcPr>
            <w:tcW w:type="dxa" w:w="4816"/>
            <w:vAlign w:val="center"/>
          </w:tcPr>
          <w:p>
            <w:r>
              <w:rPr>
                <w:sz w:val="17"/>
              </w:rPr>
              <w:t>69（3声学 + 66光学）</w:t>
            </w:r>
          </w:p>
        </w:tc>
      </w:tr>
      <w:tr>
        <w:tc>
          <w:tcPr>
            <w:tcW w:type="dxa" w:w="4816"/>
            <w:vAlign w:val="center"/>
          </w:tcPr>
          <w:p>
            <w:r>
              <w:rPr>
                <w:sz w:val="17"/>
              </w:rPr>
              <w:t>独立频率复算最大误差</w:t>
            </w:r>
          </w:p>
        </w:tc>
        <w:tc>
          <w:tcPr>
            <w:tcW w:type="dxa" w:w="4816"/>
            <w:vAlign w:val="center"/>
          </w:tcPr>
          <w:p>
            <w:r>
              <w:rPr>
                <w:sz w:val="17"/>
              </w:rPr>
              <w:t>&lt; 0.001 THz</w:t>
            </w:r>
          </w:p>
        </w:tc>
      </w:tr>
      <w:tr>
        <w:tc>
          <w:tcPr>
            <w:tcW w:type="dxa" w:w="4816"/>
            <w:vAlign w:val="center"/>
          </w:tcPr>
          <w:p>
            <w:r>
              <w:rPr>
                <w:sz w:val="17"/>
              </w:rPr>
              <w:t>fc3 官方最大漂移</w:t>
            </w:r>
          </w:p>
        </w:tc>
        <w:tc>
          <w:tcPr>
            <w:tcW w:type="dxa" w:w="4816"/>
            <w:vAlign w:val="center"/>
          </w:tcPr>
          <w:p>
            <w:r>
              <w:rPr>
                <w:sz w:val="17"/>
              </w:rPr>
              <w:t>约 1×10⁻⁸</w:t>
            </w:r>
          </w:p>
        </w:tc>
      </w:tr>
      <w:tr>
        <w:tc>
          <w:tcPr>
            <w:tcW w:type="dxa" w:w="4816"/>
            <w:vAlign w:val="center"/>
          </w:tcPr>
          <w:p>
            <w:r>
              <w:rPr>
                <w:sz w:val="17"/>
              </w:rPr>
              <w:t>首选目标模</w:t>
            </w:r>
          </w:p>
        </w:tc>
        <w:tc>
          <w:tcPr>
            <w:tcW w:type="dxa" w:w="4816"/>
            <w:vAlign w:val="center"/>
          </w:tcPr>
          <w:p>
            <w:r>
              <w:rPr>
                <w:sz w:val="17"/>
              </w:rPr>
              <w:t>T₁ ≈ 19.2487 THz（暗模）</w:t>
            </w:r>
          </w:p>
        </w:tc>
      </w:tr>
      <w:tr>
        <w:tc>
          <w:tcPr>
            <w:tcW w:type="dxa" w:w="4816"/>
            <w:vAlign w:val="center"/>
          </w:tcPr>
          <w:p>
            <w:r>
              <w:rPr>
                <w:sz w:val="17"/>
              </w:rPr>
              <w:t>首选源模</w:t>
            </w:r>
          </w:p>
        </w:tc>
        <w:tc>
          <w:tcPr>
            <w:tcW w:type="dxa" w:w="4816"/>
            <w:vAlign w:val="center"/>
          </w:tcPr>
          <w:p>
            <w:r>
              <w:rPr>
                <w:sz w:val="17"/>
              </w:rPr>
              <w:t>T₂ ≈ 5.2497 THz 与 13.9697 THz</w:t>
            </w:r>
          </w:p>
        </w:tc>
      </w:tr>
      <w:tr>
        <w:tc>
          <w:tcPr>
            <w:tcW w:type="dxa" w:w="4816"/>
            <w:vAlign w:val="center"/>
          </w:tcPr>
          <w:p>
            <w:r>
              <w:rPr>
                <w:sz w:val="17"/>
              </w:rPr>
              <w:t>首选失谐</w:t>
            </w:r>
          </w:p>
        </w:tc>
        <w:tc>
          <w:tcPr>
            <w:tcW w:type="dxa" w:w="4816"/>
            <w:vAlign w:val="center"/>
          </w:tcPr>
          <w:p>
            <w:r>
              <w:rPr>
                <w:sz w:val="17"/>
              </w:rPr>
              <w:t>0.0293 THz</w:t>
            </w:r>
          </w:p>
        </w:tc>
      </w:tr>
      <w:tr>
        <w:tc>
          <w:tcPr>
            <w:tcW w:type="dxa" w:w="4816"/>
            <w:vAlign w:val="center"/>
          </w:tcPr>
          <w:p>
            <w:r>
              <w:rPr>
                <w:sz w:val="17"/>
              </w:rPr>
              <w:t>内部规范耦合指标</w:t>
            </w:r>
          </w:p>
        </w:tc>
        <w:tc>
          <w:tcPr>
            <w:tcW w:type="dxa" w:w="4816"/>
            <w:vAlign w:val="center"/>
          </w:tcPr>
          <w:p>
            <w:r>
              <w:rPr>
                <w:sz w:val="17"/>
              </w:rPr>
              <w:t>约 5.11×10⁻³（仅作相对排序）</w:t>
            </w:r>
          </w:p>
        </w:tc>
      </w:tr>
      <w:tr>
        <w:tc>
          <w:tcPr>
            <w:tcW w:type="dxa" w:w="4816"/>
            <w:vAlign w:val="center"/>
          </w:tcPr>
          <w:p>
            <w:r>
              <w:rPr>
                <w:sz w:val="17"/>
              </w:rPr>
              <w:t>首选源模有效电荷指标</w:t>
            </w:r>
          </w:p>
        </w:tc>
        <w:tc>
          <w:tcPr>
            <w:tcW w:type="dxa" w:w="4816"/>
            <w:vAlign w:val="center"/>
          </w:tcPr>
          <w:p>
            <w:r>
              <w:rPr>
                <w:sz w:val="17"/>
              </w:rPr>
              <w:t>约0.152、0.601</w:t>
            </w:r>
          </w:p>
        </w:tc>
      </w:tr>
      <w:tr>
        <w:tc>
          <w:tcPr>
            <w:tcW w:type="dxa" w:w="4816"/>
            <w:vAlign w:val="center"/>
          </w:tcPr>
          <w:p>
            <w:r>
              <w:rPr>
                <w:sz w:val="17"/>
              </w:rPr>
              <w:t>同分支→目标T₁最大数值残差</w:t>
            </w:r>
          </w:p>
        </w:tc>
        <w:tc>
          <w:tcPr>
            <w:tcW w:type="dxa" w:w="4816"/>
            <w:vAlign w:val="center"/>
          </w:tcPr>
          <w:p>
            <w:r>
              <w:rPr>
                <w:sz w:val="17"/>
              </w:rPr>
              <w:t>约1.03×10⁻¹³（张量范数）</w:t>
            </w:r>
          </w:p>
        </w:tc>
      </w:tr>
      <w:tr>
        <w:tc>
          <w:tcPr>
            <w:tcW w:type="dxa" w:w="4816"/>
            <w:vAlign w:val="center"/>
          </w:tcPr>
          <w:p>
            <w:r>
              <w:rPr>
                <w:sz w:val="17"/>
              </w:rPr>
              <w:t>首选交叉张量范数</w:t>
            </w:r>
          </w:p>
        </w:tc>
        <w:tc>
          <w:tcPr>
            <w:tcW w:type="dxa" w:w="4816"/>
            <w:vAlign w:val="center"/>
          </w:tcPr>
          <w:p>
            <w:r>
              <w:rPr>
                <w:sz w:val="17"/>
              </w:rPr>
              <w:t>约1.25×10⁻²</w:t>
            </w:r>
          </w:p>
        </w:tc>
      </w:tr>
    </w:tbl>
    <w:p>
      <w:pPr>
        <w:pStyle w:val="Heading1"/>
      </w:pPr>
      <w:r>
        <w:t>附录B：主要外部参考文献</w:t>
      </w:r>
    </w:p>
    <w:p>
      <w:pPr>
        <w:ind w:left="227" w:hanging="227"/>
      </w:pPr>
      <w:r>
        <w:t>1. Wei, Z.; Jiang, X.; Phillips, A. E.; Lin, J.; Dove, M. T. “Phonons and low thermal expansion in sodalite zinc borate Zn4B6O12X (X = O, S, Se).” Physical Review B 104, 174310 (2021). DOI: 10.1103/PhysRevB.104.174310.</w:t>
      </w:r>
    </w:p>
    <w:p>
      <w:pPr>
        <w:ind w:left="227" w:hanging="227"/>
      </w:pPr>
      <w:r>
        <w:t>2. Romao, C. P.; Juraschek, D. M. “Phonon-Induced Geometric Chirality.” ACS Nano 18, 29550–29557 (2024). DOI: 10.1021/acsnano.4c05978.</w:t>
      </w:r>
    </w:p>
    <w:p>
      <w:pPr>
        <w:ind w:left="227" w:hanging="227"/>
      </w:pPr>
      <w:r>
        <w:t>3. Chemistry LibreTexts, T_d character/direct-product tables: T2⊗T2 = A1 + E + T1 + T2；其中括号项为反对称分量。</w:t>
      </w:r>
    </w:p>
    <w:p>
      <w:pPr>
        <w:ind w:left="227" w:hanging="227"/>
      </w:pPr>
      <w:r>
        <w:t>4. NIMS Materials Data Repository, Zn4B6O13 / I-43m (217) phonon and third-order force datasets; user-uploaded archive and LTC-calc.log used in this report.</w:t>
      </w:r>
    </w:p>
    <w:p>
      <w:pPr>
        <w:ind w:left="227" w:hanging="227"/>
      </w:pPr>
      <w:r>
        <w:t>5. 《精神现实主义文集》与《精神现实主义研究系列报告合集·二十一篇完整版·研究补遗版》（用户提供研究语料）。</w:t>
      </w:r>
    </w:p>
    <w:p>
      <w:pPr>
        <w:pStyle w:val="Heading1"/>
      </w:pPr>
      <w:r>
        <w:t>附录C：研究结论等级表</w:t>
      </w:r>
    </w:p>
    <w:tbl>
      <w:tblPr>
        <w:tblStyle w:val="TableGrid"/>
        <w:tblW w:type="auto" w:w="0"/>
        <w:jc w:val="center"/>
        <w:tblLook w:firstColumn="1" w:firstRow="1" w:lastColumn="0" w:lastRow="0" w:noHBand="0" w:noVBand="1" w:val="04A0"/>
      </w:tblPr>
      <w:tblGrid>
        <w:gridCol w:w="3211"/>
        <w:gridCol w:w="3211"/>
        <w:gridCol w:w="3211"/>
      </w:tblGrid>
      <w:tr>
        <w:tc>
          <w:tcPr>
            <w:tcW w:type="dxa" w:w="3211"/>
            <w:shd w:fill="E7E7E7"/>
            <w:vAlign w:val="center"/>
          </w:tcPr>
          <w:p>
            <w:r>
              <w:rPr>
                <w:b/>
                <w:sz w:val="18"/>
              </w:rPr>
              <w:t>命题</w:t>
            </w:r>
          </w:p>
        </w:tc>
        <w:tc>
          <w:tcPr>
            <w:tcW w:type="dxa" w:w="3211"/>
            <w:shd w:fill="E7E7E7"/>
            <w:vAlign w:val="center"/>
          </w:tcPr>
          <w:p>
            <w:r>
              <w:rPr>
                <w:b/>
                <w:sz w:val="18"/>
              </w:rPr>
              <w:t>等级</w:t>
            </w:r>
          </w:p>
        </w:tc>
        <w:tc>
          <w:tcPr>
            <w:tcW w:type="dxa" w:w="3211"/>
            <w:shd w:fill="E7E7E7"/>
            <w:vAlign w:val="center"/>
          </w:tcPr>
          <w:p>
            <w:r>
              <w:rPr>
                <w:b/>
                <w:sz w:val="18"/>
              </w:rPr>
              <w:t>说明</w:t>
            </w:r>
          </w:p>
        </w:tc>
      </w:tr>
      <w:tr>
        <w:tc>
          <w:tcPr>
            <w:tcW w:type="dxa" w:w="3211"/>
            <w:vAlign w:val="center"/>
          </w:tcPr>
          <w:p>
            <w:r>
              <w:rPr>
                <w:sz w:val="17"/>
              </w:rPr>
              <w:t>4关系→6接口</w:t>
            </w:r>
          </w:p>
        </w:tc>
        <w:tc>
          <w:tcPr>
            <w:tcW w:type="dxa" w:w="3211"/>
            <w:vAlign w:val="center"/>
          </w:tcPr>
          <w:p>
            <w:r>
              <w:rPr>
                <w:sz w:val="17"/>
              </w:rPr>
              <w:t>A：已证明</w:t>
            </w:r>
          </w:p>
        </w:tc>
        <w:tc>
          <w:tcPr>
            <w:tcW w:type="dxa" w:w="3211"/>
            <w:vAlign w:val="center"/>
          </w:tcPr>
          <w:p>
            <w:r>
              <w:rPr>
                <w:sz w:val="17"/>
              </w:rPr>
              <w:t>组合学直接推出</w:t>
            </w:r>
          </w:p>
        </w:tc>
      </w:tr>
      <w:tr>
        <w:tc>
          <w:tcPr>
            <w:tcW w:type="dxa" w:w="3211"/>
            <w:vAlign w:val="center"/>
          </w:tcPr>
          <w:p>
            <w:r>
              <w:rPr>
                <w:sz w:val="17"/>
              </w:rPr>
              <w:t>6→1+5→1+2+3</w:t>
            </w:r>
          </w:p>
        </w:tc>
        <w:tc>
          <w:tcPr>
            <w:tcW w:type="dxa" w:w="3211"/>
            <w:vAlign w:val="center"/>
          </w:tcPr>
          <w:p>
            <w:r>
              <w:rPr>
                <w:sz w:val="17"/>
              </w:rPr>
              <w:t>A/B：数学可复算</w:t>
            </w:r>
          </w:p>
        </w:tc>
        <w:tc>
          <w:tcPr>
            <w:tcW w:type="dxa" w:w="3211"/>
            <w:vAlign w:val="center"/>
          </w:tcPr>
          <w:p>
            <w:r>
              <w:rPr>
                <w:sz w:val="17"/>
              </w:rPr>
              <w:t>依赖选定的四面体对称表示</w:t>
            </w:r>
          </w:p>
        </w:tc>
      </w:tr>
      <w:tr>
        <w:tc>
          <w:tcPr>
            <w:tcW w:type="dxa" w:w="3211"/>
            <w:vAlign w:val="center"/>
          </w:tcPr>
          <w:p>
            <w:r>
              <w:rPr>
                <w:sz w:val="17"/>
              </w:rPr>
              <w:t>T₂×T₂允许E/T₁</w:t>
            </w:r>
          </w:p>
        </w:tc>
        <w:tc>
          <w:tcPr>
            <w:tcW w:type="dxa" w:w="3211"/>
            <w:vAlign w:val="center"/>
          </w:tcPr>
          <w:p>
            <w:r>
              <w:rPr>
                <w:sz w:val="17"/>
              </w:rPr>
              <w:t>A：标准群论</w:t>
            </w:r>
          </w:p>
        </w:tc>
        <w:tc>
          <w:tcPr>
            <w:tcW w:type="dxa" w:w="3211"/>
            <w:vAlign w:val="center"/>
          </w:tcPr>
          <w:p>
            <w:r>
              <w:rPr>
                <w:sz w:val="17"/>
              </w:rPr>
              <w:t>前人已知，不属新发现</w:t>
            </w:r>
          </w:p>
        </w:tc>
      </w:tr>
      <w:tr>
        <w:tc>
          <w:tcPr>
            <w:tcW w:type="dxa" w:w="3211"/>
            <w:vAlign w:val="center"/>
          </w:tcPr>
          <w:p>
            <w:r>
              <w:rPr>
                <w:sz w:val="17"/>
              </w:rPr>
              <w:t>同一T₂自乘→T₁为零</w:t>
            </w:r>
          </w:p>
        </w:tc>
        <w:tc>
          <w:tcPr>
            <w:tcW w:type="dxa" w:w="3211"/>
            <w:vAlign w:val="center"/>
          </w:tcPr>
          <w:p>
            <w:r>
              <w:rPr>
                <w:sz w:val="17"/>
              </w:rPr>
              <w:t>A：对称平方规则</w:t>
            </w:r>
          </w:p>
        </w:tc>
        <w:tc>
          <w:tcPr>
            <w:tcW w:type="dxa" w:w="3211"/>
            <w:vAlign w:val="center"/>
          </w:tcPr>
          <w:p>
            <w:r>
              <w:rPr>
                <w:sz w:val="17"/>
              </w:rPr>
              <w:t>真实fc3数值也支持</w:t>
            </w:r>
          </w:p>
        </w:tc>
      </w:tr>
      <w:tr>
        <w:tc>
          <w:tcPr>
            <w:tcW w:type="dxa" w:w="3211"/>
            <w:vAlign w:val="center"/>
          </w:tcPr>
          <w:p>
            <w:r>
              <w:rPr>
                <w:sz w:val="17"/>
              </w:rPr>
              <w:t>5.25+13.97→19.25为优先通道</w:t>
            </w:r>
          </w:p>
        </w:tc>
        <w:tc>
          <w:tcPr>
            <w:tcW w:type="dxa" w:w="3211"/>
            <w:vAlign w:val="center"/>
          </w:tcPr>
          <w:p>
            <w:r>
              <w:rPr>
                <w:sz w:val="17"/>
              </w:rPr>
              <w:t>B：材料计算候选</w:t>
            </w:r>
          </w:p>
        </w:tc>
        <w:tc>
          <w:tcPr>
            <w:tcW w:type="dxa" w:w="3211"/>
            <w:vAlign w:val="center"/>
          </w:tcPr>
          <w:p>
            <w:r>
              <w:rPr>
                <w:sz w:val="17"/>
              </w:rPr>
              <w:t>待完整动力学/实验</w:t>
            </w:r>
          </w:p>
        </w:tc>
      </w:tr>
      <w:tr>
        <w:tc>
          <w:tcPr>
            <w:tcW w:type="dxa" w:w="3211"/>
            <w:vAlign w:val="center"/>
          </w:tcPr>
          <w:p>
            <w:r>
              <w:rPr>
                <w:sz w:val="17"/>
              </w:rPr>
              <w:t>叉积形式用于实验控制</w:t>
            </w:r>
          </w:p>
        </w:tc>
        <w:tc>
          <w:tcPr>
            <w:tcW w:type="dxa" w:w="3211"/>
            <w:vAlign w:val="center"/>
          </w:tcPr>
          <w:p>
            <w:r>
              <w:rPr>
                <w:sz w:val="17"/>
              </w:rPr>
              <w:t>B：基底对齐后成立</w:t>
            </w:r>
          </w:p>
        </w:tc>
        <w:tc>
          <w:tcPr>
            <w:tcW w:type="dxa" w:w="3211"/>
            <w:vAlign w:val="center"/>
          </w:tcPr>
          <w:p>
            <w:r>
              <w:rPr>
                <w:sz w:val="17"/>
              </w:rPr>
              <w:t>实验室偏振需先映射到模式坐标</w:t>
            </w:r>
          </w:p>
        </w:tc>
      </w:tr>
      <w:tr>
        <w:tc>
          <w:tcPr>
            <w:tcW w:type="dxa" w:w="3211"/>
            <w:vAlign w:val="center"/>
          </w:tcPr>
          <w:p>
            <w:r>
              <w:rPr>
                <w:sz w:val="17"/>
              </w:rPr>
              <w:t>5维关系场=三大物理共同实体</w:t>
            </w:r>
          </w:p>
        </w:tc>
        <w:tc>
          <w:tcPr>
            <w:tcW w:type="dxa" w:w="3211"/>
            <w:vAlign w:val="center"/>
          </w:tcPr>
          <w:p>
            <w:r>
              <w:rPr>
                <w:sz w:val="17"/>
              </w:rPr>
              <w:t>D：未证明</w:t>
            </w:r>
          </w:p>
        </w:tc>
        <w:tc>
          <w:tcPr>
            <w:tcW w:type="dxa" w:w="3211"/>
            <w:vAlign w:val="center"/>
          </w:tcPr>
          <w:p>
            <w:r>
              <w:rPr>
                <w:sz w:val="17"/>
              </w:rPr>
              <w:t>仅保留为长期研究假设</w:t>
            </w:r>
          </w:p>
        </w:tc>
      </w:tr>
      <w:tr>
        <w:tc>
          <w:tcPr>
            <w:tcW w:type="dxa" w:w="3211"/>
            <w:vAlign w:val="center"/>
          </w:tcPr>
          <w:p>
            <w:r>
              <w:rPr>
                <w:sz w:val="17"/>
              </w:rPr>
              <w:t>360+5为普适物理常数</w:t>
            </w:r>
          </w:p>
        </w:tc>
        <w:tc>
          <w:tcPr>
            <w:tcW w:type="dxa" w:w="3211"/>
            <w:vAlign w:val="center"/>
          </w:tcPr>
          <w:p>
            <w:r>
              <w:rPr>
                <w:sz w:val="17"/>
              </w:rPr>
              <w:t>D：未证明</w:t>
            </w:r>
          </w:p>
        </w:tc>
        <w:tc>
          <w:tcPr>
            <w:tcW w:type="dxa" w:w="3211"/>
            <w:vAlign w:val="center"/>
          </w:tcPr>
          <w:p>
            <w:r>
              <w:rPr>
                <w:sz w:val="17"/>
              </w:rPr>
              <w:t>不纳入本报告物理结论</w:t>
            </w:r>
          </w:p>
        </w:tc>
      </w:tr>
    </w:tbl>
    <w:sectPr w:rsidR="00FC693F" w:rsidRPr="0006063C" w:rsidSect="00034616">
      <w:footerReference w:type="default" r:id="rId13"/>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精神现实主义现代物理检验阶段报告 · 2026-09-21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after="100"/>
    </w:pPr>
    <w:rPr>
      <w:rFonts w:ascii="Noto Serif CJK SC" w:hAnsi="Noto Serif CJK SC" w:eastAsia="Noto Serif CJK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ans CJK SC" w:hAnsi="Noto Sans CJK SC" w:eastAsia="Noto Sans CJK SC"/>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ans CJK SC" w:hAnsi="Noto Sans CJK SC" w:eastAsia="Noto Sans CJK SC"/>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Sans CJK SC" w:hAnsi="Noto Sans CJK SC" w:eastAsia="Noto Sans CJK SC"/>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CJK SC" w:hAnsi="Noto Sans CJK SC" w:eastAsia="Noto Sans CJK SC"/>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ula">
    <w:name w:val="Formula"/>
    <w:pPr>
      <w:spacing w:before="80" w:after="80"/>
      <w:ind w:left="680"/>
    </w:pPr>
    <w:rPr>
      <w:rFonts w:ascii="Liberation Serif" w:hAnsi="Liberation Serif"/>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从四关系—六接口到可证伪声子动力学：精神现实主义母结构的现代物理形式化与第一性原理检验阶段报告</dc:title>
  <dc:subject>现代物理形式化、Td群论、Zn4B6O13、三阶声子耦合、可证伪预测</dc:subject>
  <dc:creator>研究整理：ChatGPT 与用户协作</dc:creator>
  <cp:keywords/>
  <dc:description>generated by python-docx</dc:description>
  <cp:lastModifiedBy/>
  <cp:revision>1</cp:revision>
  <dcterms:created xsi:type="dcterms:W3CDTF">2013-12-23T23:15:00Z</dcterms:created>
  <dcterms:modified xsi:type="dcterms:W3CDTF">2013-12-23T23:15:00Z</dcterms:modified>
  <cp:category/>
</cp:coreProperties>
</file>